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7FA1C">
      <w:pPr>
        <w:spacing w:after="0" w:line="400" w:lineRule="exact"/>
        <w:jc w:val="center"/>
        <w:rPr>
          <w:rFonts w:hint="eastAsia" w:ascii="仿宋" w:hAnsi="仿宋" w:eastAsia="仿宋" w:cs="仿宋"/>
          <w:spacing w:val="-18"/>
          <w:sz w:val="44"/>
          <w:szCs w:val="44"/>
        </w:rPr>
      </w:pPr>
    </w:p>
    <w:p w14:paraId="3232F504">
      <w:pPr>
        <w:spacing w:after="0" w:line="400" w:lineRule="exact"/>
        <w:jc w:val="both"/>
        <w:rPr>
          <w:rFonts w:hint="eastAsia" w:ascii="仿宋" w:hAnsi="仿宋" w:eastAsia="仿宋" w:cs="仿宋"/>
        </w:rPr>
      </w:pPr>
    </w:p>
    <w:p w14:paraId="50FD62EF">
      <w:pPr>
        <w:spacing w:after="0" w:line="360" w:lineRule="auto"/>
        <w:jc w:val="center"/>
        <w:rPr>
          <w:rFonts w:hint="eastAsia" w:ascii="仿宋" w:hAnsi="仿宋" w:eastAsia="仿宋" w:cs="仿宋"/>
          <w:b/>
          <w:sz w:val="84"/>
          <w:szCs w:val="84"/>
          <w:lang w:eastAsia="zh-CN"/>
        </w:rPr>
      </w:pPr>
      <w:r>
        <w:rPr>
          <w:rFonts w:hint="eastAsia" w:ascii="仿宋" w:hAnsi="仿宋" w:eastAsia="仿宋" w:cs="仿宋"/>
          <w:b/>
          <w:sz w:val="84"/>
          <w:szCs w:val="84"/>
          <w:lang w:eastAsia="zh-CN"/>
        </w:rPr>
        <w:t>巴青县生物多样性</w:t>
      </w:r>
    </w:p>
    <w:p w14:paraId="239B17E9">
      <w:pPr>
        <w:spacing w:after="0" w:line="360" w:lineRule="auto"/>
        <w:jc w:val="center"/>
        <w:rPr>
          <w:rFonts w:hint="eastAsia" w:ascii="仿宋" w:hAnsi="仿宋" w:eastAsia="仿宋" w:cs="仿宋"/>
          <w:b/>
          <w:sz w:val="84"/>
          <w:szCs w:val="84"/>
          <w:lang w:eastAsia="zh-CN"/>
        </w:rPr>
      </w:pPr>
      <w:r>
        <w:rPr>
          <w:rFonts w:hint="eastAsia" w:ascii="仿宋" w:hAnsi="仿宋" w:eastAsia="仿宋" w:cs="仿宋"/>
          <w:b/>
          <w:sz w:val="84"/>
          <w:szCs w:val="84"/>
          <w:lang w:eastAsia="zh-CN"/>
        </w:rPr>
        <w:t>调查项目</w:t>
      </w:r>
    </w:p>
    <w:p w14:paraId="4CF2822A">
      <w:pPr>
        <w:spacing w:after="0" w:line="360" w:lineRule="auto"/>
        <w:jc w:val="center"/>
        <w:rPr>
          <w:rFonts w:hint="eastAsia" w:ascii="仿宋" w:hAnsi="仿宋" w:eastAsia="仿宋" w:cs="仿宋"/>
          <w:b/>
          <w:sz w:val="96"/>
          <w:szCs w:val="96"/>
        </w:rPr>
      </w:pPr>
    </w:p>
    <w:p w14:paraId="2043C7D0">
      <w:pPr>
        <w:spacing w:after="0" w:line="360" w:lineRule="auto"/>
        <w:jc w:val="center"/>
        <w:rPr>
          <w:rFonts w:hint="eastAsia" w:ascii="仿宋" w:hAnsi="仿宋" w:eastAsia="仿宋" w:cs="仿宋"/>
          <w:b/>
          <w:sz w:val="96"/>
          <w:szCs w:val="96"/>
        </w:rPr>
      </w:pPr>
    </w:p>
    <w:p w14:paraId="0FF10A6F">
      <w:pPr>
        <w:spacing w:after="0" w:line="360" w:lineRule="auto"/>
        <w:jc w:val="center"/>
        <w:rPr>
          <w:rFonts w:hint="eastAsia" w:ascii="仿宋" w:hAnsi="仿宋" w:eastAsia="仿宋" w:cs="仿宋"/>
          <w:b/>
          <w:sz w:val="96"/>
          <w:szCs w:val="96"/>
        </w:rPr>
      </w:pPr>
      <w:r>
        <w:rPr>
          <w:rFonts w:hint="eastAsia" w:ascii="仿宋" w:hAnsi="仿宋" w:eastAsia="仿宋" w:cs="仿宋"/>
          <w:b/>
          <w:sz w:val="96"/>
          <w:szCs w:val="96"/>
        </w:rPr>
        <w:t>招标文件</w:t>
      </w:r>
    </w:p>
    <w:p w14:paraId="2D29EE10">
      <w:pPr>
        <w:spacing w:after="0" w:line="360" w:lineRule="auto"/>
        <w:jc w:val="center"/>
        <w:rPr>
          <w:rFonts w:hint="eastAsia" w:ascii="仿宋" w:hAnsi="仿宋" w:eastAsia="仿宋" w:cs="仿宋"/>
          <w:b/>
          <w:sz w:val="28"/>
          <w:szCs w:val="28"/>
        </w:rPr>
      </w:pPr>
      <w:r>
        <w:rPr>
          <w:rFonts w:hint="eastAsia" w:ascii="仿宋" w:hAnsi="仿宋" w:eastAsia="仿宋" w:cs="仿宋"/>
          <w:b/>
          <w:sz w:val="28"/>
          <w:szCs w:val="28"/>
        </w:rPr>
        <w:t>项目编号：GZFCG2026-33155</w:t>
      </w:r>
    </w:p>
    <w:p w14:paraId="3C9E95F5">
      <w:pPr>
        <w:pStyle w:val="6"/>
        <w:rPr>
          <w:rFonts w:hint="eastAsia" w:ascii="仿宋" w:hAnsi="仿宋" w:eastAsia="仿宋" w:cs="仿宋"/>
        </w:rPr>
      </w:pPr>
    </w:p>
    <w:p w14:paraId="2AEBB00C">
      <w:pPr>
        <w:spacing w:after="0" w:line="240" w:lineRule="auto"/>
        <w:rPr>
          <w:rFonts w:hint="eastAsia" w:ascii="仿宋" w:hAnsi="仿宋" w:eastAsia="仿宋" w:cs="仿宋"/>
        </w:rPr>
      </w:pPr>
    </w:p>
    <w:p w14:paraId="2ECD803F">
      <w:pPr>
        <w:spacing w:after="0" w:line="240" w:lineRule="auto"/>
        <w:rPr>
          <w:rFonts w:hint="eastAsia" w:ascii="仿宋" w:hAnsi="仿宋" w:eastAsia="仿宋" w:cs="仿宋"/>
        </w:rPr>
      </w:pPr>
    </w:p>
    <w:p w14:paraId="1CBDBA18">
      <w:pPr>
        <w:spacing w:after="0" w:line="240" w:lineRule="auto"/>
        <w:rPr>
          <w:rFonts w:hint="eastAsia" w:ascii="仿宋" w:hAnsi="仿宋" w:eastAsia="仿宋" w:cs="仿宋"/>
        </w:rPr>
      </w:pPr>
    </w:p>
    <w:p w14:paraId="3598EFF4">
      <w:pPr>
        <w:spacing w:after="0" w:line="240" w:lineRule="auto"/>
        <w:rPr>
          <w:rFonts w:hint="eastAsia" w:ascii="仿宋" w:hAnsi="仿宋" w:eastAsia="仿宋" w:cs="仿宋"/>
        </w:rPr>
      </w:pPr>
    </w:p>
    <w:p w14:paraId="473A3730">
      <w:pPr>
        <w:spacing w:after="0" w:line="240" w:lineRule="auto"/>
        <w:rPr>
          <w:rFonts w:hint="eastAsia" w:ascii="仿宋" w:hAnsi="仿宋" w:eastAsia="仿宋" w:cs="仿宋"/>
        </w:rPr>
      </w:pPr>
    </w:p>
    <w:p w14:paraId="1F63F439">
      <w:pPr>
        <w:pStyle w:val="5"/>
        <w:rPr>
          <w:rFonts w:hint="eastAsia" w:ascii="仿宋" w:hAnsi="仿宋" w:eastAsia="仿宋" w:cs="仿宋"/>
        </w:rPr>
      </w:pPr>
    </w:p>
    <w:p w14:paraId="7471DD41">
      <w:pPr>
        <w:spacing w:line="360" w:lineRule="auto"/>
        <w:jc w:val="center"/>
        <w:rPr>
          <w:rFonts w:hint="eastAsia" w:ascii="仿宋" w:hAnsi="仿宋" w:eastAsia="仿宋" w:cs="仿宋"/>
          <w:b/>
          <w:bCs/>
          <w:sz w:val="36"/>
          <w:szCs w:val="36"/>
          <w:u w:val="single"/>
          <w:lang w:eastAsia="zh-CN"/>
        </w:rPr>
      </w:pPr>
      <w:r>
        <w:rPr>
          <w:rFonts w:hint="eastAsia" w:ascii="仿宋" w:hAnsi="仿宋" w:eastAsia="仿宋" w:cs="仿宋"/>
          <w:b/>
          <w:bCs/>
          <w:sz w:val="36"/>
          <w:szCs w:val="36"/>
        </w:rPr>
        <w:t>采购人：</w:t>
      </w:r>
      <w:r>
        <w:rPr>
          <w:rFonts w:hint="eastAsia" w:ascii="仿宋" w:hAnsi="仿宋" w:eastAsia="仿宋" w:cs="仿宋"/>
          <w:b/>
          <w:bCs/>
          <w:sz w:val="36"/>
          <w:szCs w:val="36"/>
          <w:u w:val="single"/>
          <w:lang w:eastAsia="zh-CN"/>
        </w:rPr>
        <w:t>巴青县人民政府</w:t>
      </w:r>
    </w:p>
    <w:p w14:paraId="15AF35F9">
      <w:pPr>
        <w:spacing w:line="360" w:lineRule="auto"/>
        <w:jc w:val="center"/>
        <w:rPr>
          <w:rFonts w:hint="eastAsia" w:ascii="仿宋" w:hAnsi="仿宋" w:eastAsia="仿宋" w:cs="仿宋"/>
          <w:b/>
          <w:bCs/>
          <w:sz w:val="36"/>
          <w:szCs w:val="36"/>
        </w:rPr>
      </w:pPr>
      <w:r>
        <w:rPr>
          <w:rFonts w:hint="eastAsia" w:ascii="仿宋" w:hAnsi="仿宋" w:eastAsia="仿宋" w:cs="仿宋"/>
          <w:b/>
          <w:bCs/>
          <w:sz w:val="36"/>
          <w:szCs w:val="36"/>
        </w:rPr>
        <w:t>招标代理机构：</w:t>
      </w:r>
      <w:r>
        <w:rPr>
          <w:rFonts w:hint="eastAsia" w:ascii="仿宋" w:hAnsi="仿宋" w:eastAsia="仿宋" w:cs="仿宋"/>
          <w:b/>
          <w:bCs/>
          <w:sz w:val="36"/>
          <w:szCs w:val="36"/>
          <w:u w:val="single"/>
        </w:rPr>
        <w:t>西藏华思进工程咨询有限公司</w:t>
      </w:r>
    </w:p>
    <w:p w14:paraId="7DB6521E">
      <w:pPr>
        <w:spacing w:line="360" w:lineRule="auto"/>
        <w:jc w:val="center"/>
        <w:rPr>
          <w:rFonts w:hint="eastAsia" w:ascii="仿宋" w:hAnsi="仿宋" w:eastAsia="仿宋" w:cs="仿宋"/>
          <w:b/>
          <w:bCs/>
          <w:sz w:val="36"/>
          <w:szCs w:val="36"/>
        </w:rPr>
      </w:pPr>
      <w:r>
        <w:rPr>
          <w:rFonts w:hint="eastAsia" w:ascii="仿宋" w:hAnsi="仿宋" w:eastAsia="仿宋" w:cs="仿宋"/>
          <w:b/>
          <w:bCs/>
          <w:sz w:val="36"/>
          <w:szCs w:val="36"/>
        </w:rPr>
        <w:t>日期：202</w:t>
      </w:r>
      <w:r>
        <w:rPr>
          <w:rFonts w:hint="eastAsia" w:ascii="仿宋" w:hAnsi="仿宋" w:eastAsia="仿宋" w:cs="仿宋"/>
          <w:b/>
          <w:bCs/>
          <w:sz w:val="36"/>
          <w:szCs w:val="36"/>
          <w:lang w:val="en-US" w:eastAsia="zh-CN"/>
        </w:rPr>
        <w:t>6</w:t>
      </w:r>
      <w:r>
        <w:rPr>
          <w:rFonts w:hint="eastAsia" w:ascii="仿宋" w:hAnsi="仿宋" w:eastAsia="仿宋" w:cs="仿宋"/>
          <w:b/>
          <w:bCs/>
          <w:sz w:val="36"/>
          <w:szCs w:val="36"/>
        </w:rPr>
        <w:t>年</w:t>
      </w:r>
      <w:r>
        <w:rPr>
          <w:rFonts w:hint="eastAsia" w:ascii="仿宋" w:hAnsi="仿宋" w:eastAsia="仿宋" w:cs="仿宋"/>
          <w:b/>
          <w:bCs/>
          <w:sz w:val="36"/>
          <w:szCs w:val="36"/>
          <w:lang w:val="en-US" w:eastAsia="zh-CN"/>
        </w:rPr>
        <w:t>05</w:t>
      </w:r>
      <w:r>
        <w:rPr>
          <w:rFonts w:hint="eastAsia" w:ascii="仿宋" w:hAnsi="仿宋" w:eastAsia="仿宋" w:cs="仿宋"/>
          <w:b/>
          <w:bCs/>
          <w:sz w:val="36"/>
          <w:szCs w:val="36"/>
        </w:rPr>
        <w:t>月</w:t>
      </w:r>
    </w:p>
    <w:p w14:paraId="048EEC70">
      <w:pPr>
        <w:spacing w:after="0" w:line="360" w:lineRule="auto"/>
        <w:jc w:val="both"/>
        <w:rPr>
          <w:rFonts w:hint="eastAsia" w:ascii="仿宋" w:hAnsi="仿宋" w:eastAsia="仿宋" w:cs="仿宋"/>
          <w:b/>
          <w:sz w:val="24"/>
        </w:rPr>
        <w:sectPr>
          <w:headerReference r:id="rId5" w:type="default"/>
          <w:footerReference r:id="rId6" w:type="default"/>
          <w:pgSz w:w="11906" w:h="16838"/>
          <w:pgMar w:top="1440" w:right="1701" w:bottom="1440" w:left="1701" w:header="851" w:footer="992" w:gutter="0"/>
          <w:pgNumType w:fmt="upperRoman" w:start="1"/>
          <w:cols w:space="720" w:num="1"/>
          <w:docGrid w:type="linesAndChars" w:linePitch="380" w:charSpace="0"/>
        </w:sectPr>
      </w:pPr>
    </w:p>
    <w:p w14:paraId="7A112FB1">
      <w:pPr>
        <w:spacing w:after="0" w:line="360" w:lineRule="auto"/>
        <w:jc w:val="center"/>
        <w:rPr>
          <w:rFonts w:hint="eastAsia" w:ascii="仿宋" w:hAnsi="仿宋" w:eastAsia="仿宋" w:cs="仿宋"/>
          <w:b/>
          <w:sz w:val="24"/>
        </w:rPr>
      </w:pPr>
      <w:r>
        <w:rPr>
          <w:rFonts w:hint="eastAsia" w:ascii="仿宋" w:hAnsi="仿宋" w:eastAsia="仿宋" w:cs="仿宋"/>
          <w:b/>
          <w:sz w:val="24"/>
        </w:rPr>
        <w:t>目  录</w:t>
      </w:r>
    </w:p>
    <w:p w14:paraId="5DEE7BE4">
      <w:pPr>
        <w:pStyle w:val="11"/>
        <w:tabs>
          <w:tab w:val="right" w:leader="dot" w:pos="8504"/>
          <w:tab w:val="clear" w:pos="567"/>
          <w:tab w:val="clear" w:pos="709"/>
          <w:tab w:val="clear" w:pos="8505"/>
        </w:tabs>
      </w:pPr>
      <w:r>
        <w:rPr>
          <w:rFonts w:hint="eastAsia" w:ascii="仿宋" w:hAnsi="仿宋" w:eastAsia="仿宋" w:cs="仿宋"/>
          <w:szCs w:val="21"/>
        </w:rPr>
        <w:fldChar w:fldCharType="begin"/>
      </w:r>
      <w:r>
        <w:rPr>
          <w:rFonts w:hint="eastAsia" w:ascii="仿宋" w:hAnsi="仿宋" w:eastAsia="仿宋" w:cs="仿宋"/>
          <w:szCs w:val="21"/>
        </w:rPr>
        <w:instrText xml:space="preserve"> TOC \o "1-3" \h \z \u </w:instrText>
      </w:r>
      <w:r>
        <w:rPr>
          <w:rFonts w:hint="eastAsia" w:ascii="仿宋" w:hAnsi="仿宋" w:eastAsia="仿宋" w:cs="仿宋"/>
          <w:szCs w:val="21"/>
        </w:rPr>
        <w:fldChar w:fldCharType="separate"/>
      </w:r>
      <w:r>
        <w:rPr>
          <w:rFonts w:hint="eastAsia" w:ascii="仿宋" w:hAnsi="仿宋" w:eastAsia="仿宋" w:cs="仿宋"/>
          <w:szCs w:val="21"/>
        </w:rPr>
        <w:fldChar w:fldCharType="begin"/>
      </w:r>
      <w:r>
        <w:rPr>
          <w:rFonts w:hint="eastAsia" w:ascii="仿宋" w:hAnsi="仿宋" w:eastAsia="仿宋" w:cs="仿宋"/>
          <w:szCs w:val="21"/>
        </w:rPr>
        <w:instrText xml:space="preserve"> HYPERLINK \l _Toc17925 </w:instrText>
      </w:r>
      <w:r>
        <w:rPr>
          <w:rFonts w:hint="eastAsia" w:ascii="仿宋" w:hAnsi="仿宋" w:eastAsia="仿宋" w:cs="仿宋"/>
          <w:szCs w:val="21"/>
        </w:rPr>
        <w:fldChar w:fldCharType="separate"/>
      </w:r>
      <w:r>
        <w:rPr>
          <w:rFonts w:hint="default" w:ascii="仿宋" w:hAnsi="仿宋" w:eastAsia="仿宋" w:cs="仿宋"/>
          <w:bCs w:val="0"/>
          <w:kern w:val="0"/>
          <w:szCs w:val="32"/>
        </w:rPr>
        <w:t xml:space="preserve">第一章 </w:t>
      </w:r>
      <w:r>
        <w:rPr>
          <w:rFonts w:hint="eastAsia" w:ascii="仿宋" w:hAnsi="仿宋" w:eastAsia="仿宋" w:cs="仿宋"/>
          <w:bCs w:val="0"/>
          <w:kern w:val="0"/>
          <w:szCs w:val="32"/>
        </w:rPr>
        <w:t>招标公告</w:t>
      </w:r>
      <w:r>
        <w:tab/>
      </w:r>
      <w:r>
        <w:fldChar w:fldCharType="begin"/>
      </w:r>
      <w:r>
        <w:instrText xml:space="preserve"> PAGEREF _Toc17925 \h </w:instrText>
      </w:r>
      <w:r>
        <w:fldChar w:fldCharType="separate"/>
      </w:r>
      <w:r>
        <w:t>1</w:t>
      </w:r>
      <w:r>
        <w:fldChar w:fldCharType="end"/>
      </w:r>
      <w:r>
        <w:rPr>
          <w:rFonts w:hint="eastAsia" w:ascii="仿宋" w:hAnsi="仿宋" w:eastAsia="仿宋" w:cs="仿宋"/>
          <w:szCs w:val="21"/>
        </w:rPr>
        <w:fldChar w:fldCharType="end"/>
      </w:r>
    </w:p>
    <w:p w14:paraId="71747392">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_Toc25121 </w:instrText>
      </w:r>
      <w:r>
        <w:rPr>
          <w:rFonts w:hint="eastAsia" w:ascii="仿宋" w:hAnsi="仿宋" w:eastAsia="仿宋" w:cs="仿宋"/>
          <w:szCs w:val="21"/>
        </w:rPr>
        <w:fldChar w:fldCharType="separate"/>
      </w:r>
      <w:r>
        <w:rPr>
          <w:rFonts w:hint="eastAsia" w:ascii="仿宋" w:hAnsi="仿宋" w:eastAsia="仿宋" w:cs="仿宋"/>
          <w:szCs w:val="21"/>
        </w:rPr>
        <w:t>一、项目基本情况</w:t>
      </w:r>
      <w:r>
        <w:tab/>
      </w:r>
      <w:r>
        <w:fldChar w:fldCharType="begin"/>
      </w:r>
      <w:r>
        <w:instrText xml:space="preserve"> PAGEREF _Toc25121 \h </w:instrText>
      </w:r>
      <w:r>
        <w:fldChar w:fldCharType="separate"/>
      </w:r>
      <w:r>
        <w:t>1</w:t>
      </w:r>
      <w:r>
        <w:fldChar w:fldCharType="end"/>
      </w:r>
      <w:r>
        <w:rPr>
          <w:rFonts w:hint="eastAsia" w:ascii="仿宋" w:hAnsi="仿宋" w:eastAsia="仿宋" w:cs="仿宋"/>
          <w:szCs w:val="21"/>
        </w:rPr>
        <w:fldChar w:fldCharType="end"/>
      </w:r>
    </w:p>
    <w:p w14:paraId="319C8DE2">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_Toc3089 </w:instrText>
      </w:r>
      <w:r>
        <w:rPr>
          <w:rFonts w:hint="eastAsia" w:ascii="仿宋" w:hAnsi="仿宋" w:eastAsia="仿宋" w:cs="仿宋"/>
          <w:szCs w:val="21"/>
        </w:rPr>
        <w:fldChar w:fldCharType="separate"/>
      </w:r>
      <w:r>
        <w:rPr>
          <w:rFonts w:hint="eastAsia" w:ascii="仿宋" w:hAnsi="仿宋" w:eastAsia="仿宋" w:cs="仿宋"/>
          <w:szCs w:val="21"/>
        </w:rPr>
        <w:t>二、申请人的资格要求</w:t>
      </w:r>
      <w:r>
        <w:tab/>
      </w:r>
      <w:r>
        <w:fldChar w:fldCharType="begin"/>
      </w:r>
      <w:r>
        <w:instrText xml:space="preserve"> PAGEREF _Toc3089 \h </w:instrText>
      </w:r>
      <w:r>
        <w:fldChar w:fldCharType="separate"/>
      </w:r>
      <w:r>
        <w:t>1</w:t>
      </w:r>
      <w:r>
        <w:fldChar w:fldCharType="end"/>
      </w:r>
      <w:r>
        <w:rPr>
          <w:rFonts w:hint="eastAsia" w:ascii="仿宋" w:hAnsi="仿宋" w:eastAsia="仿宋" w:cs="仿宋"/>
          <w:szCs w:val="21"/>
        </w:rPr>
        <w:fldChar w:fldCharType="end"/>
      </w:r>
    </w:p>
    <w:p w14:paraId="1A290515">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_Toc15779 </w:instrText>
      </w:r>
      <w:r>
        <w:rPr>
          <w:rFonts w:hint="eastAsia" w:ascii="仿宋" w:hAnsi="仿宋" w:eastAsia="仿宋" w:cs="仿宋"/>
          <w:szCs w:val="21"/>
        </w:rPr>
        <w:fldChar w:fldCharType="separate"/>
      </w:r>
      <w:r>
        <w:rPr>
          <w:rFonts w:hint="eastAsia" w:ascii="仿宋" w:hAnsi="仿宋" w:eastAsia="仿宋" w:cs="仿宋"/>
          <w:szCs w:val="21"/>
        </w:rPr>
        <w:t>三、获取招标文件</w:t>
      </w:r>
      <w:r>
        <w:tab/>
      </w:r>
      <w:r>
        <w:fldChar w:fldCharType="begin"/>
      </w:r>
      <w:r>
        <w:instrText xml:space="preserve"> PAGEREF _Toc15779 \h </w:instrText>
      </w:r>
      <w:r>
        <w:fldChar w:fldCharType="separate"/>
      </w:r>
      <w:r>
        <w:t>2</w:t>
      </w:r>
      <w:r>
        <w:fldChar w:fldCharType="end"/>
      </w:r>
      <w:r>
        <w:rPr>
          <w:rFonts w:hint="eastAsia" w:ascii="仿宋" w:hAnsi="仿宋" w:eastAsia="仿宋" w:cs="仿宋"/>
          <w:szCs w:val="21"/>
        </w:rPr>
        <w:fldChar w:fldCharType="end"/>
      </w:r>
    </w:p>
    <w:p w14:paraId="0F0414AC">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_Toc25160 </w:instrText>
      </w:r>
      <w:r>
        <w:rPr>
          <w:rFonts w:hint="eastAsia" w:ascii="仿宋" w:hAnsi="仿宋" w:eastAsia="仿宋" w:cs="仿宋"/>
          <w:szCs w:val="21"/>
        </w:rPr>
        <w:fldChar w:fldCharType="separate"/>
      </w:r>
      <w:r>
        <w:rPr>
          <w:rFonts w:hint="eastAsia" w:ascii="仿宋" w:hAnsi="仿宋" w:eastAsia="仿宋" w:cs="仿宋"/>
          <w:szCs w:val="21"/>
        </w:rPr>
        <w:t>四、提交投标文件截止时间、开标时间和地点</w:t>
      </w:r>
      <w:r>
        <w:tab/>
      </w:r>
      <w:r>
        <w:fldChar w:fldCharType="begin"/>
      </w:r>
      <w:r>
        <w:instrText xml:space="preserve"> PAGEREF _Toc25160 \h </w:instrText>
      </w:r>
      <w:r>
        <w:fldChar w:fldCharType="separate"/>
      </w:r>
      <w:r>
        <w:t>2</w:t>
      </w:r>
      <w:r>
        <w:fldChar w:fldCharType="end"/>
      </w:r>
      <w:r>
        <w:rPr>
          <w:rFonts w:hint="eastAsia" w:ascii="仿宋" w:hAnsi="仿宋" w:eastAsia="仿宋" w:cs="仿宋"/>
          <w:szCs w:val="21"/>
        </w:rPr>
        <w:fldChar w:fldCharType="end"/>
      </w:r>
    </w:p>
    <w:p w14:paraId="1FB269C0">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_Toc30620 </w:instrText>
      </w:r>
      <w:r>
        <w:rPr>
          <w:rFonts w:hint="eastAsia" w:ascii="仿宋" w:hAnsi="仿宋" w:eastAsia="仿宋" w:cs="仿宋"/>
          <w:szCs w:val="21"/>
        </w:rPr>
        <w:fldChar w:fldCharType="separate"/>
      </w:r>
      <w:r>
        <w:rPr>
          <w:rFonts w:hint="eastAsia" w:ascii="仿宋" w:hAnsi="仿宋" w:eastAsia="仿宋" w:cs="仿宋"/>
          <w:szCs w:val="21"/>
        </w:rPr>
        <w:t>五、公告期限</w:t>
      </w:r>
      <w:r>
        <w:tab/>
      </w:r>
      <w:r>
        <w:fldChar w:fldCharType="begin"/>
      </w:r>
      <w:r>
        <w:instrText xml:space="preserve"> PAGEREF _Toc30620 \h </w:instrText>
      </w:r>
      <w:r>
        <w:fldChar w:fldCharType="separate"/>
      </w:r>
      <w:r>
        <w:t>2</w:t>
      </w:r>
      <w:r>
        <w:fldChar w:fldCharType="end"/>
      </w:r>
      <w:r>
        <w:rPr>
          <w:rFonts w:hint="eastAsia" w:ascii="仿宋" w:hAnsi="仿宋" w:eastAsia="仿宋" w:cs="仿宋"/>
          <w:szCs w:val="21"/>
        </w:rPr>
        <w:fldChar w:fldCharType="end"/>
      </w:r>
    </w:p>
    <w:p w14:paraId="3466CA1A">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_Toc6722 </w:instrText>
      </w:r>
      <w:r>
        <w:rPr>
          <w:rFonts w:hint="eastAsia" w:ascii="仿宋" w:hAnsi="仿宋" w:eastAsia="仿宋" w:cs="仿宋"/>
          <w:szCs w:val="21"/>
        </w:rPr>
        <w:fldChar w:fldCharType="separate"/>
      </w:r>
      <w:r>
        <w:rPr>
          <w:rFonts w:hint="eastAsia" w:ascii="仿宋" w:hAnsi="仿宋" w:eastAsia="仿宋" w:cs="仿宋"/>
          <w:szCs w:val="21"/>
        </w:rPr>
        <w:t>六、其他补充事宜</w:t>
      </w:r>
      <w:r>
        <w:tab/>
      </w:r>
      <w:r>
        <w:fldChar w:fldCharType="begin"/>
      </w:r>
      <w:r>
        <w:instrText xml:space="preserve"> PAGEREF _Toc6722 \h </w:instrText>
      </w:r>
      <w:r>
        <w:fldChar w:fldCharType="separate"/>
      </w:r>
      <w:r>
        <w:t>2</w:t>
      </w:r>
      <w:r>
        <w:fldChar w:fldCharType="end"/>
      </w:r>
      <w:r>
        <w:rPr>
          <w:rFonts w:hint="eastAsia" w:ascii="仿宋" w:hAnsi="仿宋" w:eastAsia="仿宋" w:cs="仿宋"/>
          <w:szCs w:val="21"/>
        </w:rPr>
        <w:fldChar w:fldCharType="end"/>
      </w:r>
    </w:p>
    <w:p w14:paraId="31616DDE">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_Toc16090 </w:instrText>
      </w:r>
      <w:r>
        <w:rPr>
          <w:rFonts w:hint="eastAsia" w:ascii="仿宋" w:hAnsi="仿宋" w:eastAsia="仿宋" w:cs="仿宋"/>
          <w:szCs w:val="21"/>
        </w:rPr>
        <w:fldChar w:fldCharType="separate"/>
      </w:r>
      <w:r>
        <w:rPr>
          <w:rFonts w:hint="eastAsia" w:ascii="仿宋" w:hAnsi="仿宋" w:eastAsia="仿宋" w:cs="仿宋"/>
          <w:szCs w:val="21"/>
        </w:rPr>
        <w:t>七、对本次招标提出询问，请按以下方式联系。</w:t>
      </w:r>
      <w:r>
        <w:tab/>
      </w:r>
      <w:r>
        <w:fldChar w:fldCharType="begin"/>
      </w:r>
      <w:r>
        <w:instrText xml:space="preserve"> PAGEREF _Toc16090 \h </w:instrText>
      </w:r>
      <w:r>
        <w:fldChar w:fldCharType="separate"/>
      </w:r>
      <w:r>
        <w:t>2</w:t>
      </w:r>
      <w:r>
        <w:fldChar w:fldCharType="end"/>
      </w:r>
      <w:r>
        <w:rPr>
          <w:rFonts w:hint="eastAsia" w:ascii="仿宋" w:hAnsi="仿宋" w:eastAsia="仿宋" w:cs="仿宋"/>
          <w:szCs w:val="21"/>
        </w:rPr>
        <w:fldChar w:fldCharType="end"/>
      </w:r>
    </w:p>
    <w:p w14:paraId="6F91E189">
      <w:pPr>
        <w:pStyle w:val="11"/>
        <w:tabs>
          <w:tab w:val="right" w:leader="dot" w:pos="8504"/>
          <w:tab w:val="clear" w:pos="567"/>
          <w:tab w:val="clear" w:pos="709"/>
          <w:tab w:val="clear" w:pos="8505"/>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_Toc20009 </w:instrText>
      </w:r>
      <w:r>
        <w:rPr>
          <w:rFonts w:hint="eastAsia" w:ascii="仿宋" w:hAnsi="仿宋" w:eastAsia="仿宋" w:cs="仿宋"/>
          <w:szCs w:val="21"/>
        </w:rPr>
        <w:fldChar w:fldCharType="separate"/>
      </w:r>
      <w:r>
        <w:rPr>
          <w:rFonts w:hint="eastAsia" w:ascii="仿宋" w:hAnsi="仿宋" w:eastAsia="仿宋" w:cs="仿宋"/>
          <w:bCs w:val="0"/>
          <w:kern w:val="0"/>
          <w:szCs w:val="32"/>
        </w:rPr>
        <w:t>第二章  供应商须知</w:t>
      </w:r>
      <w:r>
        <w:tab/>
      </w:r>
      <w:r>
        <w:fldChar w:fldCharType="begin"/>
      </w:r>
      <w:r>
        <w:instrText xml:space="preserve"> PAGEREF _Toc20009 \h </w:instrText>
      </w:r>
      <w:r>
        <w:fldChar w:fldCharType="separate"/>
      </w:r>
      <w:r>
        <w:t>4</w:t>
      </w:r>
      <w:r>
        <w:fldChar w:fldCharType="end"/>
      </w:r>
      <w:r>
        <w:rPr>
          <w:rFonts w:hint="eastAsia" w:ascii="仿宋" w:hAnsi="仿宋" w:eastAsia="仿宋" w:cs="仿宋"/>
          <w:szCs w:val="21"/>
        </w:rPr>
        <w:fldChar w:fldCharType="end"/>
      </w:r>
    </w:p>
    <w:p w14:paraId="0089D5EB">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_Toc236 </w:instrText>
      </w:r>
      <w:r>
        <w:rPr>
          <w:rFonts w:hint="eastAsia" w:ascii="仿宋" w:hAnsi="仿宋" w:eastAsia="仿宋" w:cs="仿宋"/>
          <w:szCs w:val="21"/>
        </w:rPr>
        <w:fldChar w:fldCharType="separate"/>
      </w:r>
      <w:r>
        <w:rPr>
          <w:rFonts w:hint="eastAsia" w:ascii="仿宋" w:hAnsi="仿宋" w:eastAsia="仿宋" w:cs="仿宋"/>
          <w:bCs w:val="0"/>
          <w:szCs w:val="28"/>
        </w:rPr>
        <w:t>供应商须知前附表</w:t>
      </w:r>
      <w:r>
        <w:tab/>
      </w:r>
      <w:r>
        <w:fldChar w:fldCharType="begin"/>
      </w:r>
      <w:r>
        <w:instrText xml:space="preserve"> PAGEREF _Toc236 \h </w:instrText>
      </w:r>
      <w:r>
        <w:fldChar w:fldCharType="separate"/>
      </w:r>
      <w:r>
        <w:t>4</w:t>
      </w:r>
      <w:r>
        <w:fldChar w:fldCharType="end"/>
      </w:r>
      <w:r>
        <w:rPr>
          <w:rFonts w:hint="eastAsia" w:ascii="仿宋" w:hAnsi="仿宋" w:eastAsia="仿宋" w:cs="仿宋"/>
          <w:szCs w:val="21"/>
        </w:rPr>
        <w:fldChar w:fldCharType="end"/>
      </w:r>
    </w:p>
    <w:p w14:paraId="32BA3E20">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_Toc32449 </w:instrText>
      </w:r>
      <w:r>
        <w:rPr>
          <w:rFonts w:hint="eastAsia" w:ascii="仿宋" w:hAnsi="仿宋" w:eastAsia="仿宋" w:cs="仿宋"/>
          <w:szCs w:val="21"/>
        </w:rPr>
        <w:fldChar w:fldCharType="separate"/>
      </w:r>
      <w:r>
        <w:rPr>
          <w:rFonts w:hint="eastAsia" w:ascii="仿宋" w:hAnsi="仿宋" w:eastAsia="仿宋" w:cs="仿宋"/>
          <w:szCs w:val="28"/>
        </w:rPr>
        <w:t>一、总则</w:t>
      </w:r>
      <w:r>
        <w:tab/>
      </w:r>
      <w:r>
        <w:fldChar w:fldCharType="begin"/>
      </w:r>
      <w:r>
        <w:instrText xml:space="preserve"> PAGEREF _Toc32449 \h </w:instrText>
      </w:r>
      <w:r>
        <w:fldChar w:fldCharType="separate"/>
      </w:r>
      <w:r>
        <w:t>10</w:t>
      </w:r>
      <w:r>
        <w:fldChar w:fldCharType="end"/>
      </w:r>
      <w:r>
        <w:rPr>
          <w:rFonts w:hint="eastAsia" w:ascii="仿宋" w:hAnsi="仿宋" w:eastAsia="仿宋" w:cs="仿宋"/>
          <w:szCs w:val="21"/>
        </w:rPr>
        <w:fldChar w:fldCharType="end"/>
      </w:r>
    </w:p>
    <w:p w14:paraId="7017F8C4">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_Toc23125 </w:instrText>
      </w:r>
      <w:r>
        <w:rPr>
          <w:rFonts w:hint="eastAsia" w:ascii="仿宋" w:hAnsi="仿宋" w:eastAsia="仿宋" w:cs="仿宋"/>
          <w:szCs w:val="21"/>
        </w:rPr>
        <w:fldChar w:fldCharType="separate"/>
      </w:r>
      <w:r>
        <w:rPr>
          <w:rFonts w:hint="eastAsia" w:ascii="仿宋" w:hAnsi="仿宋" w:eastAsia="仿宋" w:cs="仿宋"/>
          <w:szCs w:val="24"/>
        </w:rPr>
        <w:t>1.项目概况</w:t>
      </w:r>
      <w:r>
        <w:tab/>
      </w:r>
      <w:r>
        <w:fldChar w:fldCharType="begin"/>
      </w:r>
      <w:r>
        <w:instrText xml:space="preserve"> PAGEREF _Toc23125 \h </w:instrText>
      </w:r>
      <w:r>
        <w:fldChar w:fldCharType="separate"/>
      </w:r>
      <w:r>
        <w:t>10</w:t>
      </w:r>
      <w:r>
        <w:fldChar w:fldCharType="end"/>
      </w:r>
      <w:r>
        <w:rPr>
          <w:rFonts w:hint="eastAsia" w:ascii="仿宋" w:hAnsi="仿宋" w:eastAsia="仿宋" w:cs="仿宋"/>
          <w:szCs w:val="21"/>
        </w:rPr>
        <w:fldChar w:fldCharType="end"/>
      </w:r>
    </w:p>
    <w:p w14:paraId="0D4E3B4F">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_Toc16913 </w:instrText>
      </w:r>
      <w:r>
        <w:rPr>
          <w:rFonts w:hint="eastAsia" w:ascii="仿宋" w:hAnsi="仿宋" w:eastAsia="仿宋" w:cs="仿宋"/>
          <w:szCs w:val="21"/>
        </w:rPr>
        <w:fldChar w:fldCharType="separate"/>
      </w:r>
      <w:r>
        <w:rPr>
          <w:rFonts w:hint="eastAsia" w:ascii="仿宋" w:hAnsi="仿宋" w:eastAsia="仿宋" w:cs="仿宋"/>
          <w:szCs w:val="24"/>
        </w:rPr>
        <w:t>2.资金来源和落实情况</w:t>
      </w:r>
      <w:r>
        <w:tab/>
      </w:r>
      <w:r>
        <w:fldChar w:fldCharType="begin"/>
      </w:r>
      <w:r>
        <w:instrText xml:space="preserve"> PAGEREF _Toc16913 \h </w:instrText>
      </w:r>
      <w:r>
        <w:fldChar w:fldCharType="separate"/>
      </w:r>
      <w:r>
        <w:t>10</w:t>
      </w:r>
      <w:r>
        <w:fldChar w:fldCharType="end"/>
      </w:r>
      <w:r>
        <w:rPr>
          <w:rFonts w:hint="eastAsia" w:ascii="仿宋" w:hAnsi="仿宋" w:eastAsia="仿宋" w:cs="仿宋"/>
          <w:szCs w:val="21"/>
        </w:rPr>
        <w:fldChar w:fldCharType="end"/>
      </w:r>
    </w:p>
    <w:p w14:paraId="11900A4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_Toc28260 </w:instrText>
      </w:r>
      <w:r>
        <w:rPr>
          <w:rFonts w:hint="eastAsia" w:ascii="仿宋" w:hAnsi="仿宋" w:eastAsia="仿宋" w:cs="仿宋"/>
          <w:szCs w:val="21"/>
        </w:rPr>
        <w:fldChar w:fldCharType="separate"/>
      </w:r>
      <w:r>
        <w:rPr>
          <w:rFonts w:hint="eastAsia" w:ascii="仿宋" w:hAnsi="仿宋" w:eastAsia="仿宋" w:cs="仿宋"/>
          <w:szCs w:val="24"/>
        </w:rPr>
        <w:t>3.招标范围</w:t>
      </w:r>
      <w:r>
        <w:tab/>
      </w:r>
      <w:r>
        <w:fldChar w:fldCharType="begin"/>
      </w:r>
      <w:r>
        <w:instrText xml:space="preserve"> PAGEREF _Toc28260 \h </w:instrText>
      </w:r>
      <w:r>
        <w:fldChar w:fldCharType="separate"/>
      </w:r>
      <w:r>
        <w:t>10</w:t>
      </w:r>
      <w:r>
        <w:fldChar w:fldCharType="end"/>
      </w:r>
      <w:r>
        <w:rPr>
          <w:rFonts w:hint="eastAsia" w:ascii="仿宋" w:hAnsi="仿宋" w:eastAsia="仿宋" w:cs="仿宋"/>
          <w:szCs w:val="21"/>
        </w:rPr>
        <w:fldChar w:fldCharType="end"/>
      </w:r>
    </w:p>
    <w:p w14:paraId="4D857390">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_Toc1539 </w:instrText>
      </w:r>
      <w:r>
        <w:rPr>
          <w:rFonts w:hint="eastAsia" w:ascii="仿宋" w:hAnsi="仿宋" w:eastAsia="仿宋" w:cs="仿宋"/>
          <w:szCs w:val="21"/>
        </w:rPr>
        <w:fldChar w:fldCharType="separate"/>
      </w:r>
      <w:r>
        <w:rPr>
          <w:rFonts w:hint="eastAsia" w:ascii="仿宋" w:hAnsi="仿宋" w:eastAsia="仿宋" w:cs="仿宋"/>
          <w:szCs w:val="24"/>
        </w:rPr>
        <w:t>4.标段划分</w:t>
      </w:r>
      <w:r>
        <w:tab/>
      </w:r>
      <w:r>
        <w:fldChar w:fldCharType="begin"/>
      </w:r>
      <w:r>
        <w:instrText xml:space="preserve"> PAGEREF _Toc1539 \h </w:instrText>
      </w:r>
      <w:r>
        <w:fldChar w:fldCharType="separate"/>
      </w:r>
      <w:r>
        <w:t>10</w:t>
      </w:r>
      <w:r>
        <w:fldChar w:fldCharType="end"/>
      </w:r>
      <w:r>
        <w:rPr>
          <w:rFonts w:hint="eastAsia" w:ascii="仿宋" w:hAnsi="仿宋" w:eastAsia="仿宋" w:cs="仿宋"/>
          <w:szCs w:val="21"/>
        </w:rPr>
        <w:fldChar w:fldCharType="end"/>
      </w:r>
    </w:p>
    <w:p w14:paraId="0AAD96E7">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_Toc21456 </w:instrText>
      </w:r>
      <w:r>
        <w:rPr>
          <w:rFonts w:hint="eastAsia" w:ascii="仿宋" w:hAnsi="仿宋" w:eastAsia="仿宋" w:cs="仿宋"/>
          <w:szCs w:val="21"/>
        </w:rPr>
        <w:fldChar w:fldCharType="separate"/>
      </w:r>
      <w:r>
        <w:rPr>
          <w:rFonts w:hint="eastAsia" w:ascii="仿宋" w:hAnsi="仿宋" w:eastAsia="仿宋" w:cs="仿宋"/>
          <w:szCs w:val="24"/>
        </w:rPr>
        <w:t>5.招标方式</w:t>
      </w:r>
      <w:r>
        <w:tab/>
      </w:r>
      <w:r>
        <w:fldChar w:fldCharType="begin"/>
      </w:r>
      <w:r>
        <w:instrText xml:space="preserve"> PAGEREF _Toc21456 \h </w:instrText>
      </w:r>
      <w:r>
        <w:fldChar w:fldCharType="separate"/>
      </w:r>
      <w:r>
        <w:t>10</w:t>
      </w:r>
      <w:r>
        <w:fldChar w:fldCharType="end"/>
      </w:r>
      <w:r>
        <w:rPr>
          <w:rFonts w:hint="eastAsia" w:ascii="仿宋" w:hAnsi="仿宋" w:eastAsia="仿宋" w:cs="仿宋"/>
          <w:szCs w:val="21"/>
        </w:rPr>
        <w:fldChar w:fldCharType="end"/>
      </w:r>
    </w:p>
    <w:p w14:paraId="04DEF6C8">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_Toc11551 </w:instrText>
      </w:r>
      <w:r>
        <w:rPr>
          <w:rFonts w:hint="eastAsia" w:ascii="仿宋" w:hAnsi="仿宋" w:eastAsia="仿宋" w:cs="仿宋"/>
          <w:szCs w:val="21"/>
        </w:rPr>
        <w:fldChar w:fldCharType="separate"/>
      </w:r>
      <w:r>
        <w:rPr>
          <w:rFonts w:hint="eastAsia" w:ascii="仿宋" w:hAnsi="仿宋" w:eastAsia="仿宋" w:cs="仿宋"/>
          <w:szCs w:val="24"/>
        </w:rPr>
        <w:t>6.招标的组织形式</w:t>
      </w:r>
      <w:r>
        <w:tab/>
      </w:r>
      <w:r>
        <w:fldChar w:fldCharType="begin"/>
      </w:r>
      <w:r>
        <w:instrText xml:space="preserve"> PAGEREF _Toc11551 \h </w:instrText>
      </w:r>
      <w:r>
        <w:fldChar w:fldCharType="separate"/>
      </w:r>
      <w:r>
        <w:t>10</w:t>
      </w:r>
      <w:r>
        <w:fldChar w:fldCharType="end"/>
      </w:r>
      <w:r>
        <w:rPr>
          <w:rFonts w:hint="eastAsia" w:ascii="仿宋" w:hAnsi="仿宋" w:eastAsia="仿宋" w:cs="仿宋"/>
          <w:szCs w:val="21"/>
        </w:rPr>
        <w:fldChar w:fldCharType="end"/>
      </w:r>
    </w:p>
    <w:p w14:paraId="1D1798E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_Toc5887 </w:instrText>
      </w:r>
      <w:r>
        <w:rPr>
          <w:rFonts w:hint="eastAsia" w:ascii="仿宋" w:hAnsi="仿宋" w:eastAsia="仿宋" w:cs="仿宋"/>
          <w:szCs w:val="21"/>
        </w:rPr>
        <w:fldChar w:fldCharType="separate"/>
      </w:r>
      <w:r>
        <w:rPr>
          <w:rFonts w:hint="eastAsia" w:ascii="仿宋" w:hAnsi="仿宋" w:eastAsia="仿宋" w:cs="仿宋"/>
          <w:szCs w:val="24"/>
        </w:rPr>
        <w:t>7.资格审查</w:t>
      </w:r>
      <w:r>
        <w:tab/>
      </w:r>
      <w:r>
        <w:fldChar w:fldCharType="begin"/>
      </w:r>
      <w:r>
        <w:instrText xml:space="preserve"> PAGEREF _Toc5887 \h </w:instrText>
      </w:r>
      <w:r>
        <w:fldChar w:fldCharType="separate"/>
      </w:r>
      <w:r>
        <w:t>10</w:t>
      </w:r>
      <w:r>
        <w:fldChar w:fldCharType="end"/>
      </w:r>
      <w:r>
        <w:rPr>
          <w:rFonts w:hint="eastAsia" w:ascii="仿宋" w:hAnsi="仿宋" w:eastAsia="仿宋" w:cs="仿宋"/>
          <w:szCs w:val="21"/>
        </w:rPr>
        <w:fldChar w:fldCharType="end"/>
      </w:r>
    </w:p>
    <w:p w14:paraId="13558F09">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_Toc32299 </w:instrText>
      </w:r>
      <w:r>
        <w:rPr>
          <w:rFonts w:hint="eastAsia" w:ascii="仿宋" w:hAnsi="仿宋" w:eastAsia="仿宋" w:cs="仿宋"/>
          <w:szCs w:val="21"/>
        </w:rPr>
        <w:fldChar w:fldCharType="separate"/>
      </w:r>
      <w:r>
        <w:rPr>
          <w:rFonts w:hint="eastAsia" w:ascii="仿宋" w:hAnsi="仿宋" w:eastAsia="仿宋" w:cs="仿宋"/>
          <w:szCs w:val="24"/>
        </w:rPr>
        <w:t>8.※供应商不得存在的情形</w:t>
      </w:r>
      <w:r>
        <w:tab/>
      </w:r>
      <w:r>
        <w:fldChar w:fldCharType="begin"/>
      </w:r>
      <w:r>
        <w:instrText xml:space="preserve"> PAGEREF _Toc32299 \h </w:instrText>
      </w:r>
      <w:r>
        <w:fldChar w:fldCharType="separate"/>
      </w:r>
      <w:r>
        <w:t>10</w:t>
      </w:r>
      <w:r>
        <w:fldChar w:fldCharType="end"/>
      </w:r>
      <w:r>
        <w:rPr>
          <w:rFonts w:hint="eastAsia" w:ascii="仿宋" w:hAnsi="仿宋" w:eastAsia="仿宋" w:cs="仿宋"/>
          <w:szCs w:val="21"/>
        </w:rPr>
        <w:fldChar w:fldCharType="end"/>
      </w:r>
    </w:p>
    <w:p w14:paraId="3BD8DC94">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_Toc1969 </w:instrText>
      </w:r>
      <w:r>
        <w:rPr>
          <w:rFonts w:hint="eastAsia" w:ascii="仿宋" w:hAnsi="仿宋" w:eastAsia="仿宋" w:cs="仿宋"/>
          <w:szCs w:val="21"/>
        </w:rPr>
        <w:fldChar w:fldCharType="separate"/>
      </w:r>
      <w:r>
        <w:rPr>
          <w:rFonts w:hint="eastAsia" w:ascii="仿宋" w:hAnsi="仿宋" w:eastAsia="仿宋" w:cs="仿宋"/>
          <w:szCs w:val="24"/>
        </w:rPr>
        <w:t>9.合格的货物和服务</w:t>
      </w:r>
      <w:r>
        <w:tab/>
      </w:r>
      <w:r>
        <w:fldChar w:fldCharType="begin"/>
      </w:r>
      <w:r>
        <w:instrText xml:space="preserve"> PAGEREF _Toc1969 \h </w:instrText>
      </w:r>
      <w:r>
        <w:fldChar w:fldCharType="separate"/>
      </w:r>
      <w:r>
        <w:t>11</w:t>
      </w:r>
      <w:r>
        <w:fldChar w:fldCharType="end"/>
      </w:r>
      <w:r>
        <w:rPr>
          <w:rFonts w:hint="eastAsia" w:ascii="仿宋" w:hAnsi="仿宋" w:eastAsia="仿宋" w:cs="仿宋"/>
          <w:szCs w:val="21"/>
        </w:rPr>
        <w:fldChar w:fldCharType="end"/>
      </w:r>
    </w:p>
    <w:p w14:paraId="454573FE">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_Toc26032 </w:instrText>
      </w:r>
      <w:r>
        <w:rPr>
          <w:rFonts w:hint="eastAsia" w:ascii="仿宋" w:hAnsi="仿宋" w:eastAsia="仿宋" w:cs="仿宋"/>
          <w:szCs w:val="21"/>
        </w:rPr>
        <w:fldChar w:fldCharType="separate"/>
      </w:r>
      <w:r>
        <w:rPr>
          <w:rFonts w:hint="eastAsia" w:ascii="仿宋" w:hAnsi="仿宋" w:eastAsia="仿宋" w:cs="仿宋"/>
          <w:szCs w:val="24"/>
        </w:rPr>
        <w:t>10.投标费用</w:t>
      </w:r>
      <w:r>
        <w:tab/>
      </w:r>
      <w:r>
        <w:fldChar w:fldCharType="begin"/>
      </w:r>
      <w:r>
        <w:instrText xml:space="preserve"> PAGEREF _Toc26032 \h </w:instrText>
      </w:r>
      <w:r>
        <w:fldChar w:fldCharType="separate"/>
      </w:r>
      <w:r>
        <w:t>11</w:t>
      </w:r>
      <w:r>
        <w:fldChar w:fldCharType="end"/>
      </w:r>
      <w:r>
        <w:rPr>
          <w:rFonts w:hint="eastAsia" w:ascii="仿宋" w:hAnsi="仿宋" w:eastAsia="仿宋" w:cs="仿宋"/>
          <w:szCs w:val="21"/>
        </w:rPr>
        <w:fldChar w:fldCharType="end"/>
      </w:r>
    </w:p>
    <w:p w14:paraId="1742F8B9">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_Toc29934 </w:instrText>
      </w:r>
      <w:r>
        <w:rPr>
          <w:rFonts w:hint="eastAsia" w:ascii="仿宋" w:hAnsi="仿宋" w:eastAsia="仿宋" w:cs="仿宋"/>
          <w:szCs w:val="21"/>
        </w:rPr>
        <w:fldChar w:fldCharType="separate"/>
      </w:r>
      <w:r>
        <w:rPr>
          <w:rFonts w:hint="eastAsia" w:ascii="仿宋" w:hAnsi="仿宋" w:eastAsia="仿宋" w:cs="仿宋"/>
          <w:szCs w:val="24"/>
        </w:rPr>
        <w:t>11.保密</w:t>
      </w:r>
      <w:r>
        <w:tab/>
      </w:r>
      <w:r>
        <w:fldChar w:fldCharType="begin"/>
      </w:r>
      <w:r>
        <w:instrText xml:space="preserve"> PAGEREF _Toc29934 \h </w:instrText>
      </w:r>
      <w:r>
        <w:fldChar w:fldCharType="separate"/>
      </w:r>
      <w:r>
        <w:t>11</w:t>
      </w:r>
      <w:r>
        <w:fldChar w:fldCharType="end"/>
      </w:r>
      <w:r>
        <w:rPr>
          <w:rFonts w:hint="eastAsia" w:ascii="仿宋" w:hAnsi="仿宋" w:eastAsia="仿宋" w:cs="仿宋"/>
          <w:szCs w:val="21"/>
        </w:rPr>
        <w:fldChar w:fldCharType="end"/>
      </w:r>
    </w:p>
    <w:p w14:paraId="50107817">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_Toc16561 </w:instrText>
      </w:r>
      <w:r>
        <w:rPr>
          <w:rFonts w:hint="eastAsia" w:ascii="仿宋" w:hAnsi="仿宋" w:eastAsia="仿宋" w:cs="仿宋"/>
          <w:szCs w:val="21"/>
        </w:rPr>
        <w:fldChar w:fldCharType="separate"/>
      </w:r>
      <w:r>
        <w:rPr>
          <w:rFonts w:hint="eastAsia" w:ascii="仿宋" w:hAnsi="仿宋" w:eastAsia="仿宋" w:cs="仿宋"/>
          <w:szCs w:val="28"/>
        </w:rPr>
        <w:t>二、招标文件</w:t>
      </w:r>
      <w:r>
        <w:tab/>
      </w:r>
      <w:r>
        <w:fldChar w:fldCharType="begin"/>
      </w:r>
      <w:r>
        <w:instrText xml:space="preserve"> PAGEREF _Toc16561 \h </w:instrText>
      </w:r>
      <w:r>
        <w:fldChar w:fldCharType="separate"/>
      </w:r>
      <w:r>
        <w:t>11</w:t>
      </w:r>
      <w:r>
        <w:fldChar w:fldCharType="end"/>
      </w:r>
      <w:r>
        <w:rPr>
          <w:rFonts w:hint="eastAsia" w:ascii="仿宋" w:hAnsi="仿宋" w:eastAsia="仿宋" w:cs="仿宋"/>
          <w:szCs w:val="21"/>
        </w:rPr>
        <w:fldChar w:fldCharType="end"/>
      </w:r>
    </w:p>
    <w:p w14:paraId="68232EEA">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_Toc20832 </w:instrText>
      </w:r>
      <w:r>
        <w:rPr>
          <w:rFonts w:hint="eastAsia" w:ascii="仿宋" w:hAnsi="仿宋" w:eastAsia="仿宋" w:cs="仿宋"/>
          <w:szCs w:val="21"/>
        </w:rPr>
        <w:fldChar w:fldCharType="separate"/>
      </w:r>
      <w:r>
        <w:rPr>
          <w:rFonts w:hint="eastAsia" w:ascii="仿宋" w:hAnsi="仿宋" w:eastAsia="仿宋" w:cs="仿宋"/>
          <w:szCs w:val="24"/>
        </w:rPr>
        <w:t>1.招标文件的组成</w:t>
      </w:r>
      <w:r>
        <w:tab/>
      </w:r>
      <w:r>
        <w:fldChar w:fldCharType="begin"/>
      </w:r>
      <w:r>
        <w:instrText xml:space="preserve"> PAGEREF _Toc20832 \h </w:instrText>
      </w:r>
      <w:r>
        <w:fldChar w:fldCharType="separate"/>
      </w:r>
      <w:r>
        <w:t>11</w:t>
      </w:r>
      <w:r>
        <w:fldChar w:fldCharType="end"/>
      </w:r>
      <w:r>
        <w:rPr>
          <w:rFonts w:hint="eastAsia" w:ascii="仿宋" w:hAnsi="仿宋" w:eastAsia="仿宋" w:cs="仿宋"/>
          <w:szCs w:val="21"/>
        </w:rPr>
        <w:fldChar w:fldCharType="end"/>
      </w:r>
    </w:p>
    <w:p w14:paraId="6B885AF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_Toc25115 </w:instrText>
      </w:r>
      <w:r>
        <w:rPr>
          <w:rFonts w:hint="eastAsia" w:ascii="仿宋" w:hAnsi="仿宋" w:eastAsia="仿宋" w:cs="仿宋"/>
          <w:szCs w:val="21"/>
        </w:rPr>
        <w:fldChar w:fldCharType="separate"/>
      </w:r>
      <w:r>
        <w:rPr>
          <w:rFonts w:hint="eastAsia" w:ascii="仿宋" w:hAnsi="仿宋" w:eastAsia="仿宋" w:cs="仿宋"/>
          <w:szCs w:val="24"/>
        </w:rPr>
        <w:t>2.踏勘现场（如涉及）</w:t>
      </w:r>
      <w:r>
        <w:tab/>
      </w:r>
      <w:r>
        <w:fldChar w:fldCharType="begin"/>
      </w:r>
      <w:r>
        <w:instrText xml:space="preserve"> PAGEREF _Toc25115 \h </w:instrText>
      </w:r>
      <w:r>
        <w:fldChar w:fldCharType="separate"/>
      </w:r>
      <w:r>
        <w:t>12</w:t>
      </w:r>
      <w:r>
        <w:fldChar w:fldCharType="end"/>
      </w:r>
      <w:r>
        <w:rPr>
          <w:rFonts w:hint="eastAsia" w:ascii="仿宋" w:hAnsi="仿宋" w:eastAsia="仿宋" w:cs="仿宋"/>
          <w:szCs w:val="21"/>
        </w:rPr>
        <w:fldChar w:fldCharType="end"/>
      </w:r>
    </w:p>
    <w:p w14:paraId="4105572F">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_Toc19331 </w:instrText>
      </w:r>
      <w:r>
        <w:rPr>
          <w:rFonts w:hint="eastAsia" w:ascii="仿宋" w:hAnsi="仿宋" w:eastAsia="仿宋" w:cs="仿宋"/>
          <w:szCs w:val="21"/>
        </w:rPr>
        <w:fldChar w:fldCharType="separate"/>
      </w:r>
      <w:r>
        <w:rPr>
          <w:rFonts w:hint="eastAsia" w:ascii="仿宋" w:hAnsi="仿宋" w:eastAsia="仿宋" w:cs="仿宋"/>
          <w:szCs w:val="24"/>
        </w:rPr>
        <w:t>3.投标预备会</w:t>
      </w:r>
      <w:r>
        <w:tab/>
      </w:r>
      <w:r>
        <w:fldChar w:fldCharType="begin"/>
      </w:r>
      <w:r>
        <w:instrText xml:space="preserve"> PAGEREF _Toc19331 \h </w:instrText>
      </w:r>
      <w:r>
        <w:fldChar w:fldCharType="separate"/>
      </w:r>
      <w:r>
        <w:t>12</w:t>
      </w:r>
      <w:r>
        <w:fldChar w:fldCharType="end"/>
      </w:r>
      <w:r>
        <w:rPr>
          <w:rFonts w:hint="eastAsia" w:ascii="仿宋" w:hAnsi="仿宋" w:eastAsia="仿宋" w:cs="仿宋"/>
          <w:szCs w:val="21"/>
        </w:rPr>
        <w:fldChar w:fldCharType="end"/>
      </w:r>
    </w:p>
    <w:p w14:paraId="2E58B042">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_Toc20662 </w:instrText>
      </w:r>
      <w:r>
        <w:rPr>
          <w:rFonts w:hint="eastAsia" w:ascii="仿宋" w:hAnsi="仿宋" w:eastAsia="仿宋" w:cs="仿宋"/>
          <w:szCs w:val="21"/>
        </w:rPr>
        <w:fldChar w:fldCharType="separate"/>
      </w:r>
      <w:r>
        <w:rPr>
          <w:rFonts w:hint="eastAsia" w:ascii="仿宋" w:hAnsi="仿宋" w:eastAsia="仿宋" w:cs="仿宋"/>
          <w:szCs w:val="24"/>
        </w:rPr>
        <w:t>4.招标文件的澄清和修改</w:t>
      </w:r>
      <w:r>
        <w:tab/>
      </w:r>
      <w:r>
        <w:fldChar w:fldCharType="begin"/>
      </w:r>
      <w:r>
        <w:instrText xml:space="preserve"> PAGEREF _Toc20662 \h </w:instrText>
      </w:r>
      <w:r>
        <w:fldChar w:fldCharType="separate"/>
      </w:r>
      <w:r>
        <w:t>12</w:t>
      </w:r>
      <w:r>
        <w:fldChar w:fldCharType="end"/>
      </w:r>
      <w:r>
        <w:rPr>
          <w:rFonts w:hint="eastAsia" w:ascii="仿宋" w:hAnsi="仿宋" w:eastAsia="仿宋" w:cs="仿宋"/>
          <w:szCs w:val="21"/>
        </w:rPr>
        <w:fldChar w:fldCharType="end"/>
      </w:r>
    </w:p>
    <w:p w14:paraId="35849290">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_Toc78 </w:instrText>
      </w:r>
      <w:r>
        <w:rPr>
          <w:rFonts w:hint="eastAsia" w:ascii="仿宋" w:hAnsi="仿宋" w:eastAsia="仿宋" w:cs="仿宋"/>
          <w:szCs w:val="21"/>
        </w:rPr>
        <w:fldChar w:fldCharType="separate"/>
      </w:r>
      <w:r>
        <w:rPr>
          <w:rFonts w:hint="eastAsia" w:ascii="仿宋" w:hAnsi="仿宋" w:eastAsia="仿宋" w:cs="仿宋"/>
          <w:szCs w:val="28"/>
        </w:rPr>
        <w:t>三、投标文件</w:t>
      </w:r>
      <w:r>
        <w:tab/>
      </w:r>
      <w:r>
        <w:fldChar w:fldCharType="begin"/>
      </w:r>
      <w:r>
        <w:instrText xml:space="preserve"> PAGEREF _Toc78 \h </w:instrText>
      </w:r>
      <w:r>
        <w:fldChar w:fldCharType="separate"/>
      </w:r>
      <w:r>
        <w:t>12</w:t>
      </w:r>
      <w:r>
        <w:fldChar w:fldCharType="end"/>
      </w:r>
      <w:r>
        <w:rPr>
          <w:rFonts w:hint="eastAsia" w:ascii="仿宋" w:hAnsi="仿宋" w:eastAsia="仿宋" w:cs="仿宋"/>
          <w:szCs w:val="21"/>
        </w:rPr>
        <w:fldChar w:fldCharType="end"/>
      </w:r>
    </w:p>
    <w:p w14:paraId="75D2B60F">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_Toc27039 </w:instrText>
      </w:r>
      <w:r>
        <w:rPr>
          <w:rFonts w:hint="eastAsia" w:ascii="仿宋" w:hAnsi="仿宋" w:eastAsia="仿宋" w:cs="仿宋"/>
          <w:szCs w:val="21"/>
        </w:rPr>
        <w:fldChar w:fldCharType="separate"/>
      </w:r>
      <w:r>
        <w:rPr>
          <w:rFonts w:hint="eastAsia" w:ascii="仿宋" w:hAnsi="仿宋" w:eastAsia="仿宋" w:cs="仿宋"/>
          <w:szCs w:val="24"/>
        </w:rPr>
        <w:t>1.投标文件的组成</w:t>
      </w:r>
      <w:r>
        <w:tab/>
      </w:r>
      <w:r>
        <w:fldChar w:fldCharType="begin"/>
      </w:r>
      <w:r>
        <w:instrText xml:space="preserve"> PAGEREF _Toc27039 \h </w:instrText>
      </w:r>
      <w:r>
        <w:fldChar w:fldCharType="separate"/>
      </w:r>
      <w:r>
        <w:t>12</w:t>
      </w:r>
      <w:r>
        <w:fldChar w:fldCharType="end"/>
      </w:r>
      <w:r>
        <w:rPr>
          <w:rFonts w:hint="eastAsia" w:ascii="仿宋" w:hAnsi="仿宋" w:eastAsia="仿宋" w:cs="仿宋"/>
          <w:szCs w:val="21"/>
        </w:rPr>
        <w:fldChar w:fldCharType="end"/>
      </w:r>
    </w:p>
    <w:p w14:paraId="50401AB9">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_Toc25677 </w:instrText>
      </w:r>
      <w:r>
        <w:rPr>
          <w:rFonts w:hint="eastAsia" w:ascii="仿宋" w:hAnsi="仿宋" w:eastAsia="仿宋" w:cs="仿宋"/>
          <w:szCs w:val="21"/>
        </w:rPr>
        <w:fldChar w:fldCharType="separate"/>
      </w:r>
      <w:r>
        <w:rPr>
          <w:rFonts w:hint="eastAsia" w:ascii="仿宋" w:hAnsi="仿宋" w:eastAsia="仿宋" w:cs="仿宋"/>
          <w:szCs w:val="24"/>
        </w:rPr>
        <w:t>2.投标文件的编制</w:t>
      </w:r>
      <w:r>
        <w:tab/>
      </w:r>
      <w:r>
        <w:fldChar w:fldCharType="begin"/>
      </w:r>
      <w:r>
        <w:instrText xml:space="preserve"> PAGEREF _Toc25677 \h </w:instrText>
      </w:r>
      <w:r>
        <w:fldChar w:fldCharType="separate"/>
      </w:r>
      <w:r>
        <w:t>12</w:t>
      </w:r>
      <w:r>
        <w:fldChar w:fldCharType="end"/>
      </w:r>
      <w:r>
        <w:rPr>
          <w:rFonts w:hint="eastAsia" w:ascii="仿宋" w:hAnsi="仿宋" w:eastAsia="仿宋" w:cs="仿宋"/>
          <w:szCs w:val="21"/>
        </w:rPr>
        <w:fldChar w:fldCharType="end"/>
      </w:r>
    </w:p>
    <w:p w14:paraId="287A662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_Toc13204 </w:instrText>
      </w:r>
      <w:r>
        <w:rPr>
          <w:rFonts w:hint="eastAsia" w:ascii="仿宋" w:hAnsi="仿宋" w:eastAsia="仿宋" w:cs="仿宋"/>
          <w:szCs w:val="21"/>
        </w:rPr>
        <w:fldChar w:fldCharType="separate"/>
      </w:r>
      <w:r>
        <w:rPr>
          <w:rFonts w:hint="eastAsia" w:ascii="仿宋" w:hAnsi="仿宋" w:eastAsia="仿宋" w:cs="仿宋"/>
          <w:szCs w:val="24"/>
        </w:rPr>
        <w:t>3投标报价</w:t>
      </w:r>
      <w:r>
        <w:tab/>
      </w:r>
      <w:r>
        <w:fldChar w:fldCharType="begin"/>
      </w:r>
      <w:r>
        <w:instrText xml:space="preserve"> PAGEREF _Toc13204 \h </w:instrText>
      </w:r>
      <w:r>
        <w:fldChar w:fldCharType="separate"/>
      </w:r>
      <w:r>
        <w:t>13</w:t>
      </w:r>
      <w:r>
        <w:fldChar w:fldCharType="end"/>
      </w:r>
      <w:r>
        <w:rPr>
          <w:rFonts w:hint="eastAsia" w:ascii="仿宋" w:hAnsi="仿宋" w:eastAsia="仿宋" w:cs="仿宋"/>
          <w:szCs w:val="21"/>
        </w:rPr>
        <w:fldChar w:fldCharType="end"/>
      </w:r>
    </w:p>
    <w:p w14:paraId="0FF77BF8">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_Toc7735 </w:instrText>
      </w:r>
      <w:r>
        <w:rPr>
          <w:rFonts w:hint="eastAsia" w:ascii="仿宋" w:hAnsi="仿宋" w:eastAsia="仿宋" w:cs="仿宋"/>
          <w:szCs w:val="21"/>
        </w:rPr>
        <w:fldChar w:fldCharType="separate"/>
      </w:r>
      <w:r>
        <w:rPr>
          <w:rFonts w:hint="eastAsia" w:ascii="仿宋" w:hAnsi="仿宋" w:eastAsia="仿宋" w:cs="仿宋"/>
          <w:szCs w:val="24"/>
        </w:rPr>
        <w:t>4.投标有效期</w:t>
      </w:r>
      <w:r>
        <w:tab/>
      </w:r>
      <w:r>
        <w:fldChar w:fldCharType="begin"/>
      </w:r>
      <w:r>
        <w:instrText xml:space="preserve"> PAGEREF _Toc7735 \h </w:instrText>
      </w:r>
      <w:r>
        <w:fldChar w:fldCharType="separate"/>
      </w:r>
      <w:r>
        <w:t>13</w:t>
      </w:r>
      <w:r>
        <w:fldChar w:fldCharType="end"/>
      </w:r>
      <w:r>
        <w:rPr>
          <w:rFonts w:hint="eastAsia" w:ascii="仿宋" w:hAnsi="仿宋" w:eastAsia="仿宋" w:cs="仿宋"/>
          <w:szCs w:val="21"/>
        </w:rPr>
        <w:fldChar w:fldCharType="end"/>
      </w:r>
    </w:p>
    <w:p w14:paraId="652D210C">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_Toc20889 </w:instrText>
      </w:r>
      <w:r>
        <w:rPr>
          <w:rFonts w:hint="eastAsia" w:ascii="仿宋" w:hAnsi="仿宋" w:eastAsia="仿宋" w:cs="仿宋"/>
          <w:szCs w:val="21"/>
        </w:rPr>
        <w:fldChar w:fldCharType="separate"/>
      </w:r>
      <w:r>
        <w:rPr>
          <w:rFonts w:hint="eastAsia" w:ascii="仿宋" w:hAnsi="仿宋" w:eastAsia="仿宋" w:cs="仿宋"/>
          <w:szCs w:val="24"/>
        </w:rPr>
        <w:t>5.投标保证金</w:t>
      </w:r>
      <w:r>
        <w:tab/>
      </w:r>
      <w:r>
        <w:fldChar w:fldCharType="begin"/>
      </w:r>
      <w:r>
        <w:instrText xml:space="preserve"> PAGEREF _Toc20889 \h </w:instrText>
      </w:r>
      <w:r>
        <w:fldChar w:fldCharType="separate"/>
      </w:r>
      <w:r>
        <w:t>13</w:t>
      </w:r>
      <w:r>
        <w:fldChar w:fldCharType="end"/>
      </w:r>
      <w:r>
        <w:rPr>
          <w:rFonts w:hint="eastAsia" w:ascii="仿宋" w:hAnsi="仿宋" w:eastAsia="仿宋" w:cs="仿宋"/>
          <w:szCs w:val="21"/>
        </w:rPr>
        <w:fldChar w:fldCharType="end"/>
      </w:r>
    </w:p>
    <w:p w14:paraId="6F37E518">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_Toc10117 </w:instrText>
      </w:r>
      <w:r>
        <w:rPr>
          <w:rFonts w:hint="eastAsia" w:ascii="仿宋" w:hAnsi="仿宋" w:eastAsia="仿宋" w:cs="仿宋"/>
          <w:szCs w:val="21"/>
        </w:rPr>
        <w:fldChar w:fldCharType="separate"/>
      </w:r>
      <w:r>
        <w:rPr>
          <w:rFonts w:hint="eastAsia" w:ascii="仿宋" w:hAnsi="仿宋" w:eastAsia="仿宋" w:cs="仿宋"/>
          <w:szCs w:val="24"/>
        </w:rPr>
        <w:t>6.备选方案</w:t>
      </w:r>
      <w:r>
        <w:tab/>
      </w:r>
      <w:r>
        <w:fldChar w:fldCharType="begin"/>
      </w:r>
      <w:r>
        <w:instrText xml:space="preserve"> PAGEREF _Toc10117 \h </w:instrText>
      </w:r>
      <w:r>
        <w:fldChar w:fldCharType="separate"/>
      </w:r>
      <w:r>
        <w:t>14</w:t>
      </w:r>
      <w:r>
        <w:fldChar w:fldCharType="end"/>
      </w:r>
      <w:r>
        <w:rPr>
          <w:rFonts w:hint="eastAsia" w:ascii="仿宋" w:hAnsi="仿宋" w:eastAsia="仿宋" w:cs="仿宋"/>
          <w:szCs w:val="21"/>
        </w:rPr>
        <w:fldChar w:fldCharType="end"/>
      </w:r>
    </w:p>
    <w:p w14:paraId="3AE128CB">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_Toc14266 </w:instrText>
      </w:r>
      <w:r>
        <w:rPr>
          <w:rFonts w:hint="eastAsia" w:ascii="仿宋" w:hAnsi="仿宋" w:eastAsia="仿宋" w:cs="仿宋"/>
          <w:szCs w:val="21"/>
        </w:rPr>
        <w:fldChar w:fldCharType="separate"/>
      </w:r>
      <w:r>
        <w:rPr>
          <w:rFonts w:hint="eastAsia" w:ascii="仿宋" w:hAnsi="仿宋" w:eastAsia="仿宋" w:cs="仿宋"/>
          <w:szCs w:val="24"/>
        </w:rPr>
        <w:t>7.投标文件的式样、密封和标记</w:t>
      </w:r>
      <w:r>
        <w:tab/>
      </w:r>
      <w:r>
        <w:fldChar w:fldCharType="begin"/>
      </w:r>
      <w:r>
        <w:instrText xml:space="preserve"> PAGEREF _Toc14266 \h </w:instrText>
      </w:r>
      <w:r>
        <w:fldChar w:fldCharType="separate"/>
      </w:r>
      <w:r>
        <w:t>14</w:t>
      </w:r>
      <w:r>
        <w:fldChar w:fldCharType="end"/>
      </w:r>
      <w:r>
        <w:rPr>
          <w:rFonts w:hint="eastAsia" w:ascii="仿宋" w:hAnsi="仿宋" w:eastAsia="仿宋" w:cs="仿宋"/>
          <w:szCs w:val="21"/>
        </w:rPr>
        <w:fldChar w:fldCharType="end"/>
      </w:r>
    </w:p>
    <w:p w14:paraId="6563E5D8">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_Toc27300 </w:instrText>
      </w:r>
      <w:r>
        <w:rPr>
          <w:rFonts w:hint="eastAsia" w:ascii="仿宋" w:hAnsi="仿宋" w:eastAsia="仿宋" w:cs="仿宋"/>
          <w:szCs w:val="21"/>
        </w:rPr>
        <w:fldChar w:fldCharType="separate"/>
      </w:r>
      <w:r>
        <w:rPr>
          <w:rFonts w:hint="eastAsia" w:ascii="仿宋" w:hAnsi="仿宋" w:eastAsia="仿宋" w:cs="仿宋"/>
          <w:szCs w:val="28"/>
        </w:rPr>
        <w:t>四、投标</w:t>
      </w:r>
      <w:r>
        <w:tab/>
      </w:r>
      <w:r>
        <w:fldChar w:fldCharType="begin"/>
      </w:r>
      <w:r>
        <w:instrText xml:space="preserve"> PAGEREF _Toc27300 \h </w:instrText>
      </w:r>
      <w:r>
        <w:fldChar w:fldCharType="separate"/>
      </w:r>
      <w:r>
        <w:t>15</w:t>
      </w:r>
      <w:r>
        <w:fldChar w:fldCharType="end"/>
      </w:r>
      <w:r>
        <w:rPr>
          <w:rFonts w:hint="eastAsia" w:ascii="仿宋" w:hAnsi="仿宋" w:eastAsia="仿宋" w:cs="仿宋"/>
          <w:szCs w:val="21"/>
        </w:rPr>
        <w:fldChar w:fldCharType="end"/>
      </w:r>
    </w:p>
    <w:p w14:paraId="57BA170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_Toc6906 </w:instrText>
      </w:r>
      <w:r>
        <w:rPr>
          <w:rFonts w:hint="eastAsia" w:ascii="仿宋" w:hAnsi="仿宋" w:eastAsia="仿宋" w:cs="仿宋"/>
          <w:szCs w:val="21"/>
        </w:rPr>
        <w:fldChar w:fldCharType="separate"/>
      </w:r>
      <w:r>
        <w:rPr>
          <w:rFonts w:hint="eastAsia" w:ascii="仿宋" w:hAnsi="仿宋" w:eastAsia="仿宋" w:cs="仿宋"/>
          <w:szCs w:val="24"/>
        </w:rPr>
        <w:t>1.投标文件的递交</w:t>
      </w:r>
      <w:r>
        <w:tab/>
      </w:r>
      <w:r>
        <w:fldChar w:fldCharType="begin"/>
      </w:r>
      <w:r>
        <w:instrText xml:space="preserve"> PAGEREF _Toc6906 \h </w:instrText>
      </w:r>
      <w:r>
        <w:fldChar w:fldCharType="separate"/>
      </w:r>
      <w:r>
        <w:t>15</w:t>
      </w:r>
      <w:r>
        <w:fldChar w:fldCharType="end"/>
      </w:r>
      <w:r>
        <w:rPr>
          <w:rFonts w:hint="eastAsia" w:ascii="仿宋" w:hAnsi="仿宋" w:eastAsia="仿宋" w:cs="仿宋"/>
          <w:szCs w:val="21"/>
        </w:rPr>
        <w:fldChar w:fldCharType="end"/>
      </w:r>
    </w:p>
    <w:p w14:paraId="27D46F6A">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_Toc5032 </w:instrText>
      </w:r>
      <w:r>
        <w:rPr>
          <w:rFonts w:hint="eastAsia" w:ascii="仿宋" w:hAnsi="仿宋" w:eastAsia="仿宋" w:cs="仿宋"/>
          <w:szCs w:val="21"/>
        </w:rPr>
        <w:fldChar w:fldCharType="separate"/>
      </w:r>
      <w:r>
        <w:rPr>
          <w:rFonts w:hint="eastAsia" w:ascii="仿宋" w:hAnsi="仿宋" w:eastAsia="仿宋" w:cs="仿宋"/>
          <w:szCs w:val="24"/>
        </w:rPr>
        <w:t>2.投标文件的修改、撤回和撤销</w:t>
      </w:r>
      <w:r>
        <w:tab/>
      </w:r>
      <w:r>
        <w:fldChar w:fldCharType="begin"/>
      </w:r>
      <w:r>
        <w:instrText xml:space="preserve"> PAGEREF _Toc5032 \h </w:instrText>
      </w:r>
      <w:r>
        <w:fldChar w:fldCharType="separate"/>
      </w:r>
      <w:r>
        <w:t>15</w:t>
      </w:r>
      <w:r>
        <w:fldChar w:fldCharType="end"/>
      </w:r>
      <w:r>
        <w:rPr>
          <w:rFonts w:hint="eastAsia" w:ascii="仿宋" w:hAnsi="仿宋" w:eastAsia="仿宋" w:cs="仿宋"/>
          <w:szCs w:val="21"/>
        </w:rPr>
        <w:fldChar w:fldCharType="end"/>
      </w:r>
    </w:p>
    <w:p w14:paraId="4D654C6F">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_Toc7607 </w:instrText>
      </w:r>
      <w:r>
        <w:rPr>
          <w:rFonts w:hint="eastAsia" w:ascii="仿宋" w:hAnsi="仿宋" w:eastAsia="仿宋" w:cs="仿宋"/>
          <w:szCs w:val="21"/>
        </w:rPr>
        <w:fldChar w:fldCharType="separate"/>
      </w:r>
      <w:r>
        <w:rPr>
          <w:rFonts w:hint="eastAsia" w:ascii="仿宋" w:hAnsi="仿宋" w:eastAsia="仿宋" w:cs="仿宋"/>
          <w:szCs w:val="28"/>
        </w:rPr>
        <w:t>五、开标</w:t>
      </w:r>
      <w:r>
        <w:tab/>
      </w:r>
      <w:r>
        <w:fldChar w:fldCharType="begin"/>
      </w:r>
      <w:r>
        <w:instrText xml:space="preserve"> PAGEREF _Toc7607 \h </w:instrText>
      </w:r>
      <w:r>
        <w:fldChar w:fldCharType="separate"/>
      </w:r>
      <w:r>
        <w:t>15</w:t>
      </w:r>
      <w:r>
        <w:fldChar w:fldCharType="end"/>
      </w:r>
      <w:r>
        <w:rPr>
          <w:rFonts w:hint="eastAsia" w:ascii="仿宋" w:hAnsi="仿宋" w:eastAsia="仿宋" w:cs="仿宋"/>
          <w:szCs w:val="21"/>
        </w:rPr>
        <w:fldChar w:fldCharType="end"/>
      </w:r>
    </w:p>
    <w:p w14:paraId="6D56B9A2">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_Toc12211 </w:instrText>
      </w:r>
      <w:r>
        <w:rPr>
          <w:rFonts w:hint="eastAsia" w:ascii="仿宋" w:hAnsi="仿宋" w:eastAsia="仿宋" w:cs="仿宋"/>
          <w:szCs w:val="21"/>
        </w:rPr>
        <w:fldChar w:fldCharType="separate"/>
      </w:r>
      <w:r>
        <w:rPr>
          <w:rFonts w:hint="eastAsia" w:ascii="仿宋" w:hAnsi="仿宋" w:eastAsia="仿宋" w:cs="仿宋"/>
          <w:szCs w:val="24"/>
        </w:rPr>
        <w:t>1.开标时间和地点</w:t>
      </w:r>
      <w:r>
        <w:tab/>
      </w:r>
      <w:r>
        <w:fldChar w:fldCharType="begin"/>
      </w:r>
      <w:r>
        <w:instrText xml:space="preserve"> PAGEREF _Toc12211 \h </w:instrText>
      </w:r>
      <w:r>
        <w:fldChar w:fldCharType="separate"/>
      </w:r>
      <w:r>
        <w:t>15</w:t>
      </w:r>
      <w:r>
        <w:fldChar w:fldCharType="end"/>
      </w:r>
      <w:r>
        <w:rPr>
          <w:rFonts w:hint="eastAsia" w:ascii="仿宋" w:hAnsi="仿宋" w:eastAsia="仿宋" w:cs="仿宋"/>
          <w:szCs w:val="21"/>
        </w:rPr>
        <w:fldChar w:fldCharType="end"/>
      </w:r>
    </w:p>
    <w:p w14:paraId="7884E1C6">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_Toc1017 </w:instrText>
      </w:r>
      <w:r>
        <w:rPr>
          <w:rFonts w:hint="eastAsia" w:ascii="仿宋" w:hAnsi="仿宋" w:eastAsia="仿宋" w:cs="仿宋"/>
          <w:szCs w:val="21"/>
        </w:rPr>
        <w:fldChar w:fldCharType="separate"/>
      </w:r>
      <w:r>
        <w:rPr>
          <w:rFonts w:hint="eastAsia" w:ascii="仿宋" w:hAnsi="仿宋" w:eastAsia="仿宋" w:cs="仿宋"/>
          <w:szCs w:val="24"/>
        </w:rPr>
        <w:t>2.开标程序</w:t>
      </w:r>
      <w:r>
        <w:tab/>
      </w:r>
      <w:r>
        <w:fldChar w:fldCharType="begin"/>
      </w:r>
      <w:r>
        <w:instrText xml:space="preserve"> PAGEREF _Toc1017 \h </w:instrText>
      </w:r>
      <w:r>
        <w:fldChar w:fldCharType="separate"/>
      </w:r>
      <w:r>
        <w:t>15</w:t>
      </w:r>
      <w:r>
        <w:fldChar w:fldCharType="end"/>
      </w:r>
      <w:r>
        <w:rPr>
          <w:rFonts w:hint="eastAsia" w:ascii="仿宋" w:hAnsi="仿宋" w:eastAsia="仿宋" w:cs="仿宋"/>
          <w:szCs w:val="21"/>
        </w:rPr>
        <w:fldChar w:fldCharType="end"/>
      </w:r>
    </w:p>
    <w:p w14:paraId="14C195FA">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_Toc22420 </w:instrText>
      </w:r>
      <w:r>
        <w:rPr>
          <w:rFonts w:hint="eastAsia" w:ascii="仿宋" w:hAnsi="仿宋" w:eastAsia="仿宋" w:cs="仿宋"/>
          <w:szCs w:val="21"/>
        </w:rPr>
        <w:fldChar w:fldCharType="separate"/>
      </w:r>
      <w:r>
        <w:rPr>
          <w:rFonts w:hint="eastAsia" w:ascii="仿宋" w:hAnsi="仿宋" w:eastAsia="仿宋" w:cs="仿宋"/>
          <w:szCs w:val="24"/>
        </w:rPr>
        <w:t>3.不得开标</w:t>
      </w:r>
      <w:r>
        <w:tab/>
      </w:r>
      <w:r>
        <w:fldChar w:fldCharType="begin"/>
      </w:r>
      <w:r>
        <w:instrText xml:space="preserve"> PAGEREF _Toc22420 \h </w:instrText>
      </w:r>
      <w:r>
        <w:fldChar w:fldCharType="separate"/>
      </w:r>
      <w:r>
        <w:t>16</w:t>
      </w:r>
      <w:r>
        <w:fldChar w:fldCharType="end"/>
      </w:r>
      <w:r>
        <w:rPr>
          <w:rFonts w:hint="eastAsia" w:ascii="仿宋" w:hAnsi="仿宋" w:eastAsia="仿宋" w:cs="仿宋"/>
          <w:szCs w:val="21"/>
        </w:rPr>
        <w:fldChar w:fldCharType="end"/>
      </w:r>
    </w:p>
    <w:p w14:paraId="3EF0C6E5">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_Toc21530 </w:instrText>
      </w:r>
      <w:r>
        <w:rPr>
          <w:rFonts w:hint="eastAsia" w:ascii="仿宋" w:hAnsi="仿宋" w:eastAsia="仿宋" w:cs="仿宋"/>
          <w:szCs w:val="21"/>
        </w:rPr>
        <w:fldChar w:fldCharType="separate"/>
      </w:r>
      <w:r>
        <w:rPr>
          <w:rFonts w:hint="eastAsia" w:ascii="仿宋" w:hAnsi="仿宋" w:eastAsia="仿宋" w:cs="仿宋"/>
          <w:szCs w:val="28"/>
        </w:rPr>
        <w:t>六、评标</w:t>
      </w:r>
      <w:r>
        <w:tab/>
      </w:r>
      <w:r>
        <w:fldChar w:fldCharType="begin"/>
      </w:r>
      <w:r>
        <w:instrText xml:space="preserve"> PAGEREF _Toc21530 \h </w:instrText>
      </w:r>
      <w:r>
        <w:fldChar w:fldCharType="separate"/>
      </w:r>
      <w:r>
        <w:t>16</w:t>
      </w:r>
      <w:r>
        <w:fldChar w:fldCharType="end"/>
      </w:r>
      <w:r>
        <w:rPr>
          <w:rFonts w:hint="eastAsia" w:ascii="仿宋" w:hAnsi="仿宋" w:eastAsia="仿宋" w:cs="仿宋"/>
          <w:szCs w:val="21"/>
        </w:rPr>
        <w:fldChar w:fldCharType="end"/>
      </w:r>
    </w:p>
    <w:p w14:paraId="6CCDDAD4">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_Toc25093 </w:instrText>
      </w:r>
      <w:r>
        <w:rPr>
          <w:rFonts w:hint="eastAsia" w:ascii="仿宋" w:hAnsi="仿宋" w:eastAsia="仿宋" w:cs="仿宋"/>
          <w:szCs w:val="21"/>
        </w:rPr>
        <w:fldChar w:fldCharType="separate"/>
      </w:r>
      <w:r>
        <w:rPr>
          <w:rFonts w:hint="eastAsia" w:ascii="仿宋" w:hAnsi="仿宋" w:eastAsia="仿宋" w:cs="仿宋"/>
          <w:szCs w:val="24"/>
        </w:rPr>
        <w:t>1.评标委员会</w:t>
      </w:r>
      <w:r>
        <w:tab/>
      </w:r>
      <w:r>
        <w:fldChar w:fldCharType="begin"/>
      </w:r>
      <w:r>
        <w:instrText xml:space="preserve"> PAGEREF _Toc25093 \h </w:instrText>
      </w:r>
      <w:r>
        <w:fldChar w:fldCharType="separate"/>
      </w:r>
      <w:r>
        <w:t>16</w:t>
      </w:r>
      <w:r>
        <w:fldChar w:fldCharType="end"/>
      </w:r>
      <w:r>
        <w:rPr>
          <w:rFonts w:hint="eastAsia" w:ascii="仿宋" w:hAnsi="仿宋" w:eastAsia="仿宋" w:cs="仿宋"/>
          <w:szCs w:val="21"/>
        </w:rPr>
        <w:fldChar w:fldCharType="end"/>
      </w:r>
    </w:p>
    <w:p w14:paraId="50EEEF4D">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_Toc6331 </w:instrText>
      </w:r>
      <w:r>
        <w:rPr>
          <w:rFonts w:hint="eastAsia" w:ascii="仿宋" w:hAnsi="仿宋" w:eastAsia="仿宋" w:cs="仿宋"/>
          <w:szCs w:val="21"/>
        </w:rPr>
        <w:fldChar w:fldCharType="separate"/>
      </w:r>
      <w:r>
        <w:rPr>
          <w:rFonts w:hint="eastAsia" w:ascii="仿宋" w:hAnsi="仿宋" w:eastAsia="仿宋" w:cs="仿宋"/>
          <w:szCs w:val="24"/>
        </w:rPr>
        <w:t>2.评标原则</w:t>
      </w:r>
      <w:r>
        <w:tab/>
      </w:r>
      <w:r>
        <w:fldChar w:fldCharType="begin"/>
      </w:r>
      <w:r>
        <w:instrText xml:space="preserve"> PAGEREF _Toc6331 \h </w:instrText>
      </w:r>
      <w:r>
        <w:fldChar w:fldCharType="separate"/>
      </w:r>
      <w:r>
        <w:t>16</w:t>
      </w:r>
      <w:r>
        <w:fldChar w:fldCharType="end"/>
      </w:r>
      <w:r>
        <w:rPr>
          <w:rFonts w:hint="eastAsia" w:ascii="仿宋" w:hAnsi="仿宋" w:eastAsia="仿宋" w:cs="仿宋"/>
          <w:szCs w:val="21"/>
        </w:rPr>
        <w:fldChar w:fldCharType="end"/>
      </w:r>
    </w:p>
    <w:p w14:paraId="0C20ECE7">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_Toc21095 </w:instrText>
      </w:r>
      <w:r>
        <w:rPr>
          <w:rFonts w:hint="eastAsia" w:ascii="仿宋" w:hAnsi="仿宋" w:eastAsia="仿宋" w:cs="仿宋"/>
          <w:szCs w:val="21"/>
        </w:rPr>
        <w:fldChar w:fldCharType="separate"/>
      </w:r>
      <w:r>
        <w:rPr>
          <w:rFonts w:hint="eastAsia" w:ascii="仿宋" w:hAnsi="仿宋" w:eastAsia="仿宋" w:cs="仿宋"/>
          <w:szCs w:val="24"/>
        </w:rPr>
        <w:t>3.评标方法</w:t>
      </w:r>
      <w:r>
        <w:tab/>
      </w:r>
      <w:r>
        <w:fldChar w:fldCharType="begin"/>
      </w:r>
      <w:r>
        <w:instrText xml:space="preserve"> PAGEREF _Toc21095 \h </w:instrText>
      </w:r>
      <w:r>
        <w:fldChar w:fldCharType="separate"/>
      </w:r>
      <w:r>
        <w:t>16</w:t>
      </w:r>
      <w:r>
        <w:fldChar w:fldCharType="end"/>
      </w:r>
      <w:r>
        <w:rPr>
          <w:rFonts w:hint="eastAsia" w:ascii="仿宋" w:hAnsi="仿宋" w:eastAsia="仿宋" w:cs="仿宋"/>
          <w:szCs w:val="21"/>
        </w:rPr>
        <w:fldChar w:fldCharType="end"/>
      </w:r>
    </w:p>
    <w:p w14:paraId="48B1C89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_Toc20074 </w:instrText>
      </w:r>
      <w:r>
        <w:rPr>
          <w:rFonts w:hint="eastAsia" w:ascii="仿宋" w:hAnsi="仿宋" w:eastAsia="仿宋" w:cs="仿宋"/>
          <w:szCs w:val="21"/>
        </w:rPr>
        <w:fldChar w:fldCharType="separate"/>
      </w:r>
      <w:r>
        <w:rPr>
          <w:rFonts w:hint="eastAsia" w:ascii="仿宋" w:hAnsi="仿宋" w:eastAsia="仿宋" w:cs="仿宋"/>
          <w:szCs w:val="24"/>
        </w:rPr>
        <w:t>4.中标候选人推荐原则</w:t>
      </w:r>
      <w:r>
        <w:tab/>
      </w:r>
      <w:r>
        <w:fldChar w:fldCharType="begin"/>
      </w:r>
      <w:r>
        <w:instrText xml:space="preserve"> PAGEREF _Toc20074 \h </w:instrText>
      </w:r>
      <w:r>
        <w:fldChar w:fldCharType="separate"/>
      </w:r>
      <w:r>
        <w:t>16</w:t>
      </w:r>
      <w:r>
        <w:fldChar w:fldCharType="end"/>
      </w:r>
      <w:r>
        <w:rPr>
          <w:rFonts w:hint="eastAsia" w:ascii="仿宋" w:hAnsi="仿宋" w:eastAsia="仿宋" w:cs="仿宋"/>
          <w:szCs w:val="21"/>
        </w:rPr>
        <w:fldChar w:fldCharType="end"/>
      </w:r>
    </w:p>
    <w:p w14:paraId="0AE3C545">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_Toc22526 </w:instrText>
      </w:r>
      <w:r>
        <w:rPr>
          <w:rFonts w:hint="eastAsia" w:ascii="仿宋" w:hAnsi="仿宋" w:eastAsia="仿宋" w:cs="仿宋"/>
          <w:szCs w:val="21"/>
        </w:rPr>
        <w:fldChar w:fldCharType="separate"/>
      </w:r>
      <w:r>
        <w:rPr>
          <w:rFonts w:hint="eastAsia" w:ascii="仿宋" w:hAnsi="仿宋" w:eastAsia="仿宋" w:cs="仿宋"/>
          <w:szCs w:val="24"/>
        </w:rPr>
        <w:t>5.评标报告</w:t>
      </w:r>
      <w:r>
        <w:tab/>
      </w:r>
      <w:r>
        <w:fldChar w:fldCharType="begin"/>
      </w:r>
      <w:r>
        <w:instrText xml:space="preserve"> PAGEREF _Toc22526 \h </w:instrText>
      </w:r>
      <w:r>
        <w:fldChar w:fldCharType="separate"/>
      </w:r>
      <w:r>
        <w:t>16</w:t>
      </w:r>
      <w:r>
        <w:fldChar w:fldCharType="end"/>
      </w:r>
      <w:r>
        <w:rPr>
          <w:rFonts w:hint="eastAsia" w:ascii="仿宋" w:hAnsi="仿宋" w:eastAsia="仿宋" w:cs="仿宋"/>
          <w:szCs w:val="21"/>
        </w:rPr>
        <w:fldChar w:fldCharType="end"/>
      </w:r>
    </w:p>
    <w:p w14:paraId="13E50541">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_Toc6236 </w:instrText>
      </w:r>
      <w:r>
        <w:rPr>
          <w:rFonts w:hint="eastAsia" w:ascii="仿宋" w:hAnsi="仿宋" w:eastAsia="仿宋" w:cs="仿宋"/>
          <w:szCs w:val="21"/>
        </w:rPr>
        <w:fldChar w:fldCharType="separate"/>
      </w:r>
      <w:r>
        <w:rPr>
          <w:rFonts w:hint="eastAsia" w:ascii="仿宋" w:hAnsi="仿宋" w:eastAsia="仿宋" w:cs="仿宋"/>
          <w:szCs w:val="28"/>
        </w:rPr>
        <w:t>七、中标</w:t>
      </w:r>
      <w:r>
        <w:tab/>
      </w:r>
      <w:r>
        <w:fldChar w:fldCharType="begin"/>
      </w:r>
      <w:r>
        <w:instrText xml:space="preserve"> PAGEREF _Toc6236 \h </w:instrText>
      </w:r>
      <w:r>
        <w:fldChar w:fldCharType="separate"/>
      </w:r>
      <w:r>
        <w:t>16</w:t>
      </w:r>
      <w:r>
        <w:fldChar w:fldCharType="end"/>
      </w:r>
      <w:r>
        <w:rPr>
          <w:rFonts w:hint="eastAsia" w:ascii="仿宋" w:hAnsi="仿宋" w:eastAsia="仿宋" w:cs="仿宋"/>
          <w:szCs w:val="21"/>
        </w:rPr>
        <w:fldChar w:fldCharType="end"/>
      </w:r>
    </w:p>
    <w:p w14:paraId="1D31C2B9">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_Toc32293 </w:instrText>
      </w:r>
      <w:r>
        <w:rPr>
          <w:rFonts w:hint="eastAsia" w:ascii="仿宋" w:hAnsi="仿宋" w:eastAsia="仿宋" w:cs="仿宋"/>
          <w:szCs w:val="21"/>
        </w:rPr>
        <w:fldChar w:fldCharType="separate"/>
      </w:r>
      <w:r>
        <w:rPr>
          <w:rFonts w:hint="eastAsia" w:ascii="仿宋" w:hAnsi="仿宋" w:eastAsia="仿宋" w:cs="仿宋"/>
          <w:szCs w:val="24"/>
        </w:rPr>
        <w:t>1.确定中标人</w:t>
      </w:r>
      <w:r>
        <w:tab/>
      </w:r>
      <w:r>
        <w:fldChar w:fldCharType="begin"/>
      </w:r>
      <w:r>
        <w:instrText xml:space="preserve"> PAGEREF _Toc32293 \h </w:instrText>
      </w:r>
      <w:r>
        <w:fldChar w:fldCharType="separate"/>
      </w:r>
      <w:r>
        <w:t>16</w:t>
      </w:r>
      <w:r>
        <w:fldChar w:fldCharType="end"/>
      </w:r>
      <w:r>
        <w:rPr>
          <w:rFonts w:hint="eastAsia" w:ascii="仿宋" w:hAnsi="仿宋" w:eastAsia="仿宋" w:cs="仿宋"/>
          <w:szCs w:val="21"/>
        </w:rPr>
        <w:fldChar w:fldCharType="end"/>
      </w:r>
    </w:p>
    <w:p w14:paraId="67711A9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_Toc23953 </w:instrText>
      </w:r>
      <w:r>
        <w:rPr>
          <w:rFonts w:hint="eastAsia" w:ascii="仿宋" w:hAnsi="仿宋" w:eastAsia="仿宋" w:cs="仿宋"/>
          <w:szCs w:val="21"/>
        </w:rPr>
        <w:fldChar w:fldCharType="separate"/>
      </w:r>
      <w:r>
        <w:rPr>
          <w:rFonts w:hint="eastAsia" w:ascii="仿宋" w:hAnsi="仿宋" w:eastAsia="仿宋" w:cs="仿宋"/>
          <w:szCs w:val="24"/>
        </w:rPr>
        <w:t>2.中标结果公告</w:t>
      </w:r>
      <w:r>
        <w:tab/>
      </w:r>
      <w:r>
        <w:fldChar w:fldCharType="begin"/>
      </w:r>
      <w:r>
        <w:instrText xml:space="preserve"> PAGEREF _Toc23953 \h </w:instrText>
      </w:r>
      <w:r>
        <w:fldChar w:fldCharType="separate"/>
      </w:r>
      <w:r>
        <w:t>17</w:t>
      </w:r>
      <w:r>
        <w:fldChar w:fldCharType="end"/>
      </w:r>
      <w:r>
        <w:rPr>
          <w:rFonts w:hint="eastAsia" w:ascii="仿宋" w:hAnsi="仿宋" w:eastAsia="仿宋" w:cs="仿宋"/>
          <w:szCs w:val="21"/>
        </w:rPr>
        <w:fldChar w:fldCharType="end"/>
      </w:r>
    </w:p>
    <w:p w14:paraId="68EC9ECE">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_Toc15524 </w:instrText>
      </w:r>
      <w:r>
        <w:rPr>
          <w:rFonts w:hint="eastAsia" w:ascii="仿宋" w:hAnsi="仿宋" w:eastAsia="仿宋" w:cs="仿宋"/>
          <w:szCs w:val="21"/>
        </w:rPr>
        <w:fldChar w:fldCharType="separate"/>
      </w:r>
      <w:r>
        <w:rPr>
          <w:rFonts w:hint="eastAsia" w:ascii="仿宋" w:hAnsi="仿宋" w:eastAsia="仿宋" w:cs="仿宋"/>
          <w:szCs w:val="24"/>
        </w:rPr>
        <w:t>3.中标通知</w:t>
      </w:r>
      <w:r>
        <w:tab/>
      </w:r>
      <w:r>
        <w:fldChar w:fldCharType="begin"/>
      </w:r>
      <w:r>
        <w:instrText xml:space="preserve"> PAGEREF _Toc15524 \h </w:instrText>
      </w:r>
      <w:r>
        <w:fldChar w:fldCharType="separate"/>
      </w:r>
      <w:r>
        <w:t>17</w:t>
      </w:r>
      <w:r>
        <w:fldChar w:fldCharType="end"/>
      </w:r>
      <w:r>
        <w:rPr>
          <w:rFonts w:hint="eastAsia" w:ascii="仿宋" w:hAnsi="仿宋" w:eastAsia="仿宋" w:cs="仿宋"/>
          <w:szCs w:val="21"/>
        </w:rPr>
        <w:fldChar w:fldCharType="end"/>
      </w:r>
    </w:p>
    <w:p w14:paraId="0EE882EC">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_Toc22612 </w:instrText>
      </w:r>
      <w:r>
        <w:rPr>
          <w:rFonts w:hint="eastAsia" w:ascii="仿宋" w:hAnsi="仿宋" w:eastAsia="仿宋" w:cs="仿宋"/>
          <w:szCs w:val="21"/>
        </w:rPr>
        <w:fldChar w:fldCharType="separate"/>
      </w:r>
      <w:r>
        <w:rPr>
          <w:rFonts w:hint="eastAsia" w:ascii="仿宋" w:hAnsi="仿宋" w:eastAsia="仿宋" w:cs="仿宋"/>
          <w:szCs w:val="28"/>
        </w:rPr>
        <w:t>八、合同签订</w:t>
      </w:r>
      <w:r>
        <w:tab/>
      </w:r>
      <w:r>
        <w:fldChar w:fldCharType="begin"/>
      </w:r>
      <w:r>
        <w:instrText xml:space="preserve"> PAGEREF _Toc22612 \h </w:instrText>
      </w:r>
      <w:r>
        <w:fldChar w:fldCharType="separate"/>
      </w:r>
      <w:r>
        <w:t>17</w:t>
      </w:r>
      <w:r>
        <w:fldChar w:fldCharType="end"/>
      </w:r>
      <w:r>
        <w:rPr>
          <w:rFonts w:hint="eastAsia" w:ascii="仿宋" w:hAnsi="仿宋" w:eastAsia="仿宋" w:cs="仿宋"/>
          <w:szCs w:val="21"/>
        </w:rPr>
        <w:fldChar w:fldCharType="end"/>
      </w:r>
    </w:p>
    <w:p w14:paraId="2E7E0525">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_Toc1976 </w:instrText>
      </w:r>
      <w:r>
        <w:rPr>
          <w:rFonts w:hint="eastAsia" w:ascii="仿宋" w:hAnsi="仿宋" w:eastAsia="仿宋" w:cs="仿宋"/>
          <w:szCs w:val="21"/>
        </w:rPr>
        <w:fldChar w:fldCharType="separate"/>
      </w:r>
      <w:r>
        <w:rPr>
          <w:rFonts w:hint="eastAsia" w:ascii="仿宋" w:hAnsi="仿宋" w:eastAsia="仿宋" w:cs="仿宋"/>
          <w:szCs w:val="24"/>
        </w:rPr>
        <w:t>1.履约保证金</w:t>
      </w:r>
      <w:r>
        <w:tab/>
      </w:r>
      <w:r>
        <w:fldChar w:fldCharType="begin"/>
      </w:r>
      <w:r>
        <w:instrText xml:space="preserve"> PAGEREF _Toc1976 \h </w:instrText>
      </w:r>
      <w:r>
        <w:fldChar w:fldCharType="separate"/>
      </w:r>
      <w:r>
        <w:t>17</w:t>
      </w:r>
      <w:r>
        <w:fldChar w:fldCharType="end"/>
      </w:r>
      <w:r>
        <w:rPr>
          <w:rFonts w:hint="eastAsia" w:ascii="仿宋" w:hAnsi="仿宋" w:eastAsia="仿宋" w:cs="仿宋"/>
          <w:szCs w:val="21"/>
        </w:rPr>
        <w:fldChar w:fldCharType="end"/>
      </w:r>
    </w:p>
    <w:p w14:paraId="32E888F0">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_Toc10915 </w:instrText>
      </w:r>
      <w:r>
        <w:rPr>
          <w:rFonts w:hint="eastAsia" w:ascii="仿宋" w:hAnsi="仿宋" w:eastAsia="仿宋" w:cs="仿宋"/>
          <w:szCs w:val="21"/>
        </w:rPr>
        <w:fldChar w:fldCharType="separate"/>
      </w:r>
      <w:r>
        <w:rPr>
          <w:rFonts w:hint="eastAsia" w:ascii="仿宋" w:hAnsi="仿宋" w:eastAsia="仿宋" w:cs="仿宋"/>
          <w:szCs w:val="24"/>
        </w:rPr>
        <w:t>2.合同签订</w:t>
      </w:r>
      <w:r>
        <w:tab/>
      </w:r>
      <w:r>
        <w:fldChar w:fldCharType="begin"/>
      </w:r>
      <w:r>
        <w:instrText xml:space="preserve"> PAGEREF _Toc10915 \h </w:instrText>
      </w:r>
      <w:r>
        <w:fldChar w:fldCharType="separate"/>
      </w:r>
      <w:r>
        <w:t>17</w:t>
      </w:r>
      <w:r>
        <w:fldChar w:fldCharType="end"/>
      </w:r>
      <w:r>
        <w:rPr>
          <w:rFonts w:hint="eastAsia" w:ascii="仿宋" w:hAnsi="仿宋" w:eastAsia="仿宋" w:cs="仿宋"/>
          <w:szCs w:val="21"/>
        </w:rPr>
        <w:fldChar w:fldCharType="end"/>
      </w:r>
    </w:p>
    <w:p w14:paraId="6437A7B9">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_Toc17744 </w:instrText>
      </w:r>
      <w:r>
        <w:rPr>
          <w:rFonts w:hint="eastAsia" w:ascii="仿宋" w:hAnsi="仿宋" w:eastAsia="仿宋" w:cs="仿宋"/>
          <w:szCs w:val="21"/>
        </w:rPr>
        <w:fldChar w:fldCharType="separate"/>
      </w:r>
      <w:r>
        <w:rPr>
          <w:rFonts w:hint="eastAsia" w:ascii="仿宋" w:hAnsi="仿宋" w:eastAsia="仿宋" w:cs="仿宋"/>
          <w:szCs w:val="28"/>
        </w:rPr>
        <w:t>九、招标代理服务费</w:t>
      </w:r>
      <w:r>
        <w:tab/>
      </w:r>
      <w:r>
        <w:fldChar w:fldCharType="begin"/>
      </w:r>
      <w:r>
        <w:instrText xml:space="preserve"> PAGEREF _Toc17744 \h </w:instrText>
      </w:r>
      <w:r>
        <w:fldChar w:fldCharType="separate"/>
      </w:r>
      <w:r>
        <w:t>18</w:t>
      </w:r>
      <w:r>
        <w:fldChar w:fldCharType="end"/>
      </w:r>
      <w:r>
        <w:rPr>
          <w:rFonts w:hint="eastAsia" w:ascii="仿宋" w:hAnsi="仿宋" w:eastAsia="仿宋" w:cs="仿宋"/>
          <w:szCs w:val="21"/>
        </w:rPr>
        <w:fldChar w:fldCharType="end"/>
      </w:r>
    </w:p>
    <w:p w14:paraId="3188548E">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_Toc26351 </w:instrText>
      </w:r>
      <w:r>
        <w:rPr>
          <w:rFonts w:hint="eastAsia" w:ascii="仿宋" w:hAnsi="仿宋" w:eastAsia="仿宋" w:cs="仿宋"/>
          <w:szCs w:val="21"/>
        </w:rPr>
        <w:fldChar w:fldCharType="separate"/>
      </w:r>
      <w:r>
        <w:rPr>
          <w:rFonts w:hint="eastAsia" w:ascii="仿宋" w:hAnsi="仿宋" w:eastAsia="仿宋" w:cs="仿宋"/>
          <w:szCs w:val="28"/>
        </w:rPr>
        <w:t>十、纪律和监督</w:t>
      </w:r>
      <w:r>
        <w:tab/>
      </w:r>
      <w:r>
        <w:fldChar w:fldCharType="begin"/>
      </w:r>
      <w:r>
        <w:instrText xml:space="preserve"> PAGEREF _Toc26351 \h </w:instrText>
      </w:r>
      <w:r>
        <w:fldChar w:fldCharType="separate"/>
      </w:r>
      <w:r>
        <w:t>18</w:t>
      </w:r>
      <w:r>
        <w:fldChar w:fldCharType="end"/>
      </w:r>
      <w:r>
        <w:rPr>
          <w:rFonts w:hint="eastAsia" w:ascii="仿宋" w:hAnsi="仿宋" w:eastAsia="仿宋" w:cs="仿宋"/>
          <w:szCs w:val="21"/>
        </w:rPr>
        <w:fldChar w:fldCharType="end"/>
      </w:r>
    </w:p>
    <w:p w14:paraId="2ADFFD33">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_Toc31057 </w:instrText>
      </w:r>
      <w:r>
        <w:rPr>
          <w:rFonts w:hint="eastAsia" w:ascii="仿宋" w:hAnsi="仿宋" w:eastAsia="仿宋" w:cs="仿宋"/>
          <w:szCs w:val="21"/>
        </w:rPr>
        <w:fldChar w:fldCharType="separate"/>
      </w:r>
      <w:r>
        <w:rPr>
          <w:rFonts w:hint="eastAsia" w:ascii="仿宋" w:hAnsi="仿宋" w:eastAsia="仿宋" w:cs="仿宋"/>
          <w:szCs w:val="24"/>
        </w:rPr>
        <w:t>1.对采购人的纪律要求</w:t>
      </w:r>
      <w:r>
        <w:tab/>
      </w:r>
      <w:r>
        <w:fldChar w:fldCharType="begin"/>
      </w:r>
      <w:r>
        <w:instrText xml:space="preserve"> PAGEREF _Toc31057 \h </w:instrText>
      </w:r>
      <w:r>
        <w:fldChar w:fldCharType="separate"/>
      </w:r>
      <w:r>
        <w:t>18</w:t>
      </w:r>
      <w:r>
        <w:fldChar w:fldCharType="end"/>
      </w:r>
      <w:r>
        <w:rPr>
          <w:rFonts w:hint="eastAsia" w:ascii="仿宋" w:hAnsi="仿宋" w:eastAsia="仿宋" w:cs="仿宋"/>
          <w:szCs w:val="21"/>
        </w:rPr>
        <w:fldChar w:fldCharType="end"/>
      </w:r>
    </w:p>
    <w:p w14:paraId="4760117E">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_Toc14298 </w:instrText>
      </w:r>
      <w:r>
        <w:rPr>
          <w:rFonts w:hint="eastAsia" w:ascii="仿宋" w:hAnsi="仿宋" w:eastAsia="仿宋" w:cs="仿宋"/>
          <w:szCs w:val="21"/>
        </w:rPr>
        <w:fldChar w:fldCharType="separate"/>
      </w:r>
      <w:r>
        <w:rPr>
          <w:rFonts w:hint="eastAsia" w:ascii="仿宋" w:hAnsi="仿宋" w:eastAsia="仿宋" w:cs="仿宋"/>
          <w:szCs w:val="24"/>
        </w:rPr>
        <w:t>2.对供应商的纪律要求</w:t>
      </w:r>
      <w:r>
        <w:tab/>
      </w:r>
      <w:r>
        <w:fldChar w:fldCharType="begin"/>
      </w:r>
      <w:r>
        <w:instrText xml:space="preserve"> PAGEREF _Toc14298 \h </w:instrText>
      </w:r>
      <w:r>
        <w:fldChar w:fldCharType="separate"/>
      </w:r>
      <w:r>
        <w:t>18</w:t>
      </w:r>
      <w:r>
        <w:fldChar w:fldCharType="end"/>
      </w:r>
      <w:r>
        <w:rPr>
          <w:rFonts w:hint="eastAsia" w:ascii="仿宋" w:hAnsi="仿宋" w:eastAsia="仿宋" w:cs="仿宋"/>
          <w:szCs w:val="21"/>
        </w:rPr>
        <w:fldChar w:fldCharType="end"/>
      </w:r>
    </w:p>
    <w:p w14:paraId="069DCF4A">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_Toc18658 </w:instrText>
      </w:r>
      <w:r>
        <w:rPr>
          <w:rFonts w:hint="eastAsia" w:ascii="仿宋" w:hAnsi="仿宋" w:eastAsia="仿宋" w:cs="仿宋"/>
          <w:szCs w:val="21"/>
        </w:rPr>
        <w:fldChar w:fldCharType="separate"/>
      </w:r>
      <w:r>
        <w:rPr>
          <w:rFonts w:hint="eastAsia" w:ascii="仿宋" w:hAnsi="仿宋" w:eastAsia="仿宋" w:cs="仿宋"/>
          <w:szCs w:val="24"/>
        </w:rPr>
        <w:t>3.对评标委员会成员的纪律要求</w:t>
      </w:r>
      <w:r>
        <w:tab/>
      </w:r>
      <w:r>
        <w:fldChar w:fldCharType="begin"/>
      </w:r>
      <w:r>
        <w:instrText xml:space="preserve"> PAGEREF _Toc18658 \h </w:instrText>
      </w:r>
      <w:r>
        <w:fldChar w:fldCharType="separate"/>
      </w:r>
      <w:r>
        <w:t>18</w:t>
      </w:r>
      <w:r>
        <w:fldChar w:fldCharType="end"/>
      </w:r>
      <w:r>
        <w:rPr>
          <w:rFonts w:hint="eastAsia" w:ascii="仿宋" w:hAnsi="仿宋" w:eastAsia="仿宋" w:cs="仿宋"/>
          <w:szCs w:val="21"/>
        </w:rPr>
        <w:fldChar w:fldCharType="end"/>
      </w:r>
    </w:p>
    <w:p w14:paraId="793C18A4">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_Toc26327 </w:instrText>
      </w:r>
      <w:r>
        <w:rPr>
          <w:rFonts w:hint="eastAsia" w:ascii="仿宋" w:hAnsi="仿宋" w:eastAsia="仿宋" w:cs="仿宋"/>
          <w:szCs w:val="21"/>
        </w:rPr>
        <w:fldChar w:fldCharType="separate"/>
      </w:r>
      <w:r>
        <w:rPr>
          <w:rFonts w:hint="eastAsia" w:ascii="仿宋" w:hAnsi="仿宋" w:eastAsia="仿宋" w:cs="仿宋"/>
          <w:szCs w:val="24"/>
        </w:rPr>
        <w:t>4.对与评标活动有关的工作人员的纪律要求</w:t>
      </w:r>
      <w:r>
        <w:tab/>
      </w:r>
      <w:r>
        <w:fldChar w:fldCharType="begin"/>
      </w:r>
      <w:r>
        <w:instrText xml:space="preserve"> PAGEREF _Toc26327 \h </w:instrText>
      </w:r>
      <w:r>
        <w:fldChar w:fldCharType="separate"/>
      </w:r>
      <w:r>
        <w:t>18</w:t>
      </w:r>
      <w:r>
        <w:fldChar w:fldCharType="end"/>
      </w:r>
      <w:r>
        <w:rPr>
          <w:rFonts w:hint="eastAsia" w:ascii="仿宋" w:hAnsi="仿宋" w:eastAsia="仿宋" w:cs="仿宋"/>
          <w:szCs w:val="21"/>
        </w:rPr>
        <w:fldChar w:fldCharType="end"/>
      </w:r>
    </w:p>
    <w:p w14:paraId="6113641D">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_Toc13568 </w:instrText>
      </w:r>
      <w:r>
        <w:rPr>
          <w:rFonts w:hint="eastAsia" w:ascii="仿宋" w:hAnsi="仿宋" w:eastAsia="仿宋" w:cs="仿宋"/>
          <w:szCs w:val="21"/>
        </w:rPr>
        <w:fldChar w:fldCharType="separate"/>
      </w:r>
      <w:r>
        <w:rPr>
          <w:rFonts w:hint="eastAsia" w:ascii="仿宋" w:hAnsi="仿宋" w:eastAsia="仿宋" w:cs="仿宋"/>
          <w:szCs w:val="24"/>
        </w:rPr>
        <w:t>5.质疑</w:t>
      </w:r>
      <w:r>
        <w:tab/>
      </w:r>
      <w:r>
        <w:fldChar w:fldCharType="begin"/>
      </w:r>
      <w:r>
        <w:instrText xml:space="preserve"> PAGEREF _Toc13568 \h </w:instrText>
      </w:r>
      <w:r>
        <w:fldChar w:fldCharType="separate"/>
      </w:r>
      <w:r>
        <w:t>18</w:t>
      </w:r>
      <w:r>
        <w:fldChar w:fldCharType="end"/>
      </w:r>
      <w:r>
        <w:rPr>
          <w:rFonts w:hint="eastAsia" w:ascii="仿宋" w:hAnsi="仿宋" w:eastAsia="仿宋" w:cs="仿宋"/>
          <w:szCs w:val="21"/>
        </w:rPr>
        <w:fldChar w:fldCharType="end"/>
      </w:r>
    </w:p>
    <w:p w14:paraId="278CA6E6">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_Toc16603 </w:instrText>
      </w:r>
      <w:r>
        <w:rPr>
          <w:rFonts w:hint="eastAsia" w:ascii="仿宋" w:hAnsi="仿宋" w:eastAsia="仿宋" w:cs="仿宋"/>
          <w:szCs w:val="21"/>
        </w:rPr>
        <w:fldChar w:fldCharType="separate"/>
      </w:r>
      <w:r>
        <w:rPr>
          <w:rFonts w:hint="eastAsia" w:ascii="仿宋" w:hAnsi="仿宋" w:eastAsia="仿宋" w:cs="仿宋"/>
          <w:szCs w:val="24"/>
        </w:rPr>
        <w:t>6.投诉</w:t>
      </w:r>
      <w:r>
        <w:tab/>
      </w:r>
      <w:r>
        <w:fldChar w:fldCharType="begin"/>
      </w:r>
      <w:r>
        <w:instrText xml:space="preserve"> PAGEREF _Toc16603 \h </w:instrText>
      </w:r>
      <w:r>
        <w:fldChar w:fldCharType="separate"/>
      </w:r>
      <w:r>
        <w:t>18</w:t>
      </w:r>
      <w:r>
        <w:fldChar w:fldCharType="end"/>
      </w:r>
      <w:r>
        <w:rPr>
          <w:rFonts w:hint="eastAsia" w:ascii="仿宋" w:hAnsi="仿宋" w:eastAsia="仿宋" w:cs="仿宋"/>
          <w:szCs w:val="21"/>
        </w:rPr>
        <w:fldChar w:fldCharType="end"/>
      </w:r>
    </w:p>
    <w:p w14:paraId="4E29F944">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_Toc12026 </w:instrText>
      </w:r>
      <w:r>
        <w:rPr>
          <w:rFonts w:hint="eastAsia" w:ascii="仿宋" w:hAnsi="仿宋" w:eastAsia="仿宋" w:cs="仿宋"/>
          <w:szCs w:val="21"/>
        </w:rPr>
        <w:fldChar w:fldCharType="separate"/>
      </w:r>
      <w:r>
        <w:rPr>
          <w:rFonts w:hint="eastAsia" w:ascii="仿宋" w:hAnsi="仿宋" w:eastAsia="仿宋" w:cs="仿宋"/>
          <w:szCs w:val="28"/>
        </w:rPr>
        <w:t>十一、需要补充的其他内容</w:t>
      </w:r>
      <w:r>
        <w:tab/>
      </w:r>
      <w:r>
        <w:fldChar w:fldCharType="begin"/>
      </w:r>
      <w:r>
        <w:instrText xml:space="preserve"> PAGEREF _Toc12026 \h </w:instrText>
      </w:r>
      <w:r>
        <w:fldChar w:fldCharType="separate"/>
      </w:r>
      <w:r>
        <w:t>19</w:t>
      </w:r>
      <w:r>
        <w:fldChar w:fldCharType="end"/>
      </w:r>
      <w:r>
        <w:rPr>
          <w:rFonts w:hint="eastAsia" w:ascii="仿宋" w:hAnsi="仿宋" w:eastAsia="仿宋" w:cs="仿宋"/>
          <w:szCs w:val="21"/>
        </w:rPr>
        <w:fldChar w:fldCharType="end"/>
      </w:r>
    </w:p>
    <w:p w14:paraId="7D5DDE39">
      <w:pPr>
        <w:pStyle w:val="11"/>
        <w:tabs>
          <w:tab w:val="right" w:leader="dot" w:pos="8504"/>
          <w:tab w:val="clear" w:pos="567"/>
          <w:tab w:val="clear" w:pos="709"/>
          <w:tab w:val="clear" w:pos="8505"/>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_Toc4477 </w:instrText>
      </w:r>
      <w:r>
        <w:rPr>
          <w:rFonts w:hint="eastAsia" w:ascii="仿宋" w:hAnsi="仿宋" w:eastAsia="仿宋" w:cs="仿宋"/>
          <w:szCs w:val="21"/>
        </w:rPr>
        <w:fldChar w:fldCharType="separate"/>
      </w:r>
      <w:r>
        <w:rPr>
          <w:rFonts w:hint="eastAsia" w:ascii="仿宋" w:hAnsi="仿宋" w:eastAsia="仿宋" w:cs="仿宋"/>
          <w:bCs w:val="0"/>
          <w:kern w:val="0"/>
          <w:szCs w:val="32"/>
        </w:rPr>
        <w:t>第三章 评标办法（综合评分法）</w:t>
      </w:r>
      <w:r>
        <w:tab/>
      </w:r>
      <w:r>
        <w:fldChar w:fldCharType="begin"/>
      </w:r>
      <w:r>
        <w:instrText xml:space="preserve"> PAGEREF _Toc4477 \h </w:instrText>
      </w:r>
      <w:r>
        <w:fldChar w:fldCharType="separate"/>
      </w:r>
      <w:r>
        <w:t>20</w:t>
      </w:r>
      <w:r>
        <w:fldChar w:fldCharType="end"/>
      </w:r>
      <w:r>
        <w:rPr>
          <w:rFonts w:hint="eastAsia" w:ascii="仿宋" w:hAnsi="仿宋" w:eastAsia="仿宋" w:cs="仿宋"/>
          <w:szCs w:val="21"/>
        </w:rPr>
        <w:fldChar w:fldCharType="end"/>
      </w:r>
    </w:p>
    <w:p w14:paraId="00ED668D">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_Toc32130 </w:instrText>
      </w:r>
      <w:r>
        <w:rPr>
          <w:rFonts w:hint="eastAsia" w:ascii="仿宋" w:hAnsi="仿宋" w:eastAsia="仿宋" w:cs="仿宋"/>
          <w:szCs w:val="21"/>
        </w:rPr>
        <w:fldChar w:fldCharType="separate"/>
      </w:r>
      <w:r>
        <w:rPr>
          <w:rFonts w:hint="eastAsia" w:ascii="仿宋" w:hAnsi="仿宋" w:eastAsia="仿宋" w:cs="仿宋"/>
          <w:bCs w:val="0"/>
        </w:rPr>
        <w:t>一、本次评标分为初步评审（资格后审）和详细评审（综合评分法）</w:t>
      </w:r>
      <w:r>
        <w:tab/>
      </w:r>
      <w:r>
        <w:fldChar w:fldCharType="begin"/>
      </w:r>
      <w:r>
        <w:instrText xml:space="preserve"> PAGEREF _Toc32130 \h </w:instrText>
      </w:r>
      <w:r>
        <w:fldChar w:fldCharType="separate"/>
      </w:r>
      <w:r>
        <w:t>20</w:t>
      </w:r>
      <w:r>
        <w:fldChar w:fldCharType="end"/>
      </w:r>
      <w:r>
        <w:rPr>
          <w:rFonts w:hint="eastAsia" w:ascii="仿宋" w:hAnsi="仿宋" w:eastAsia="仿宋" w:cs="仿宋"/>
          <w:szCs w:val="21"/>
        </w:rPr>
        <w:fldChar w:fldCharType="end"/>
      </w:r>
    </w:p>
    <w:p w14:paraId="1C08E07D">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_Toc28730 </w:instrText>
      </w:r>
      <w:r>
        <w:rPr>
          <w:rFonts w:hint="eastAsia" w:ascii="仿宋" w:hAnsi="仿宋" w:eastAsia="仿宋" w:cs="仿宋"/>
          <w:szCs w:val="21"/>
        </w:rPr>
        <w:fldChar w:fldCharType="separate"/>
      </w:r>
      <w:r>
        <w:rPr>
          <w:rFonts w:hint="eastAsia" w:ascii="仿宋" w:hAnsi="仿宋" w:eastAsia="仿宋" w:cs="仿宋"/>
          <w:bCs w:val="0"/>
        </w:rPr>
        <w:t>二、初步评审</w:t>
      </w:r>
      <w:r>
        <w:tab/>
      </w:r>
      <w:r>
        <w:fldChar w:fldCharType="begin"/>
      </w:r>
      <w:r>
        <w:instrText xml:space="preserve"> PAGEREF _Toc28730 \h </w:instrText>
      </w:r>
      <w:r>
        <w:fldChar w:fldCharType="separate"/>
      </w:r>
      <w:r>
        <w:t>20</w:t>
      </w:r>
      <w:r>
        <w:fldChar w:fldCharType="end"/>
      </w:r>
      <w:r>
        <w:rPr>
          <w:rFonts w:hint="eastAsia" w:ascii="仿宋" w:hAnsi="仿宋" w:eastAsia="仿宋" w:cs="仿宋"/>
          <w:szCs w:val="21"/>
        </w:rPr>
        <w:fldChar w:fldCharType="end"/>
      </w:r>
    </w:p>
    <w:p w14:paraId="06714F69">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_Toc24427 </w:instrText>
      </w:r>
      <w:r>
        <w:rPr>
          <w:rFonts w:hint="eastAsia" w:ascii="仿宋" w:hAnsi="仿宋" w:eastAsia="仿宋" w:cs="仿宋"/>
          <w:szCs w:val="21"/>
        </w:rPr>
        <w:fldChar w:fldCharType="separate"/>
      </w:r>
      <w:r>
        <w:rPr>
          <w:rFonts w:hint="eastAsia" w:ascii="仿宋" w:hAnsi="仿宋" w:eastAsia="仿宋" w:cs="仿宋"/>
          <w:bCs w:val="0"/>
        </w:rPr>
        <w:t>※三、初步评审标准</w:t>
      </w:r>
      <w:r>
        <w:tab/>
      </w:r>
      <w:r>
        <w:fldChar w:fldCharType="begin"/>
      </w:r>
      <w:r>
        <w:instrText xml:space="preserve"> PAGEREF _Toc24427 \h </w:instrText>
      </w:r>
      <w:r>
        <w:fldChar w:fldCharType="separate"/>
      </w:r>
      <w:r>
        <w:t>21</w:t>
      </w:r>
      <w:r>
        <w:fldChar w:fldCharType="end"/>
      </w:r>
      <w:r>
        <w:rPr>
          <w:rFonts w:hint="eastAsia" w:ascii="仿宋" w:hAnsi="仿宋" w:eastAsia="仿宋" w:cs="仿宋"/>
          <w:szCs w:val="21"/>
        </w:rPr>
        <w:fldChar w:fldCharType="end"/>
      </w:r>
    </w:p>
    <w:p w14:paraId="156C1EAE">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_Toc14522 </w:instrText>
      </w:r>
      <w:r>
        <w:rPr>
          <w:rFonts w:hint="eastAsia" w:ascii="仿宋" w:hAnsi="仿宋" w:eastAsia="仿宋" w:cs="仿宋"/>
          <w:szCs w:val="21"/>
        </w:rPr>
        <w:fldChar w:fldCharType="separate"/>
      </w:r>
      <w:r>
        <w:rPr>
          <w:rFonts w:hint="eastAsia" w:ascii="仿宋" w:hAnsi="仿宋" w:eastAsia="仿宋" w:cs="仿宋"/>
          <w:bCs w:val="0"/>
          <w:spacing w:val="2"/>
        </w:rPr>
        <w:t>1.资格评审标准表</w:t>
      </w:r>
      <w:r>
        <w:tab/>
      </w:r>
      <w:r>
        <w:fldChar w:fldCharType="begin"/>
      </w:r>
      <w:r>
        <w:instrText xml:space="preserve"> PAGEREF _Toc14522 \h </w:instrText>
      </w:r>
      <w:r>
        <w:fldChar w:fldCharType="separate"/>
      </w:r>
      <w:r>
        <w:t>21</w:t>
      </w:r>
      <w:r>
        <w:fldChar w:fldCharType="end"/>
      </w:r>
      <w:r>
        <w:rPr>
          <w:rFonts w:hint="eastAsia" w:ascii="仿宋" w:hAnsi="仿宋" w:eastAsia="仿宋" w:cs="仿宋"/>
          <w:szCs w:val="21"/>
        </w:rPr>
        <w:fldChar w:fldCharType="end"/>
      </w:r>
    </w:p>
    <w:p w14:paraId="1059BCF4">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_Toc346 </w:instrText>
      </w:r>
      <w:r>
        <w:rPr>
          <w:rFonts w:hint="eastAsia" w:ascii="仿宋" w:hAnsi="仿宋" w:eastAsia="仿宋" w:cs="仿宋"/>
          <w:szCs w:val="21"/>
        </w:rPr>
        <w:fldChar w:fldCharType="separate"/>
      </w:r>
      <w:r>
        <w:rPr>
          <w:rFonts w:hint="eastAsia" w:ascii="仿宋" w:hAnsi="仿宋" w:eastAsia="仿宋" w:cs="仿宋"/>
          <w:bCs w:val="0"/>
          <w:spacing w:val="2"/>
        </w:rPr>
        <w:t>2.符合性审查评审标准表</w:t>
      </w:r>
      <w:r>
        <w:tab/>
      </w:r>
      <w:r>
        <w:fldChar w:fldCharType="begin"/>
      </w:r>
      <w:r>
        <w:instrText xml:space="preserve"> PAGEREF _Toc346 \h </w:instrText>
      </w:r>
      <w:r>
        <w:fldChar w:fldCharType="separate"/>
      </w:r>
      <w:r>
        <w:t>22</w:t>
      </w:r>
      <w:r>
        <w:fldChar w:fldCharType="end"/>
      </w:r>
      <w:r>
        <w:rPr>
          <w:rFonts w:hint="eastAsia" w:ascii="仿宋" w:hAnsi="仿宋" w:eastAsia="仿宋" w:cs="仿宋"/>
          <w:szCs w:val="21"/>
        </w:rPr>
        <w:fldChar w:fldCharType="end"/>
      </w:r>
    </w:p>
    <w:p w14:paraId="59945179">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_Toc3649 </w:instrText>
      </w:r>
      <w:r>
        <w:rPr>
          <w:rFonts w:hint="eastAsia" w:ascii="仿宋" w:hAnsi="仿宋" w:eastAsia="仿宋" w:cs="仿宋"/>
          <w:szCs w:val="21"/>
        </w:rPr>
        <w:fldChar w:fldCharType="separate"/>
      </w:r>
      <w:r>
        <w:rPr>
          <w:rFonts w:hint="eastAsia" w:ascii="仿宋" w:hAnsi="仿宋" w:eastAsia="仿宋" w:cs="仿宋"/>
          <w:bCs w:val="0"/>
        </w:rPr>
        <w:t>四、详细评审标准</w:t>
      </w:r>
      <w:r>
        <w:tab/>
      </w:r>
      <w:r>
        <w:fldChar w:fldCharType="begin"/>
      </w:r>
      <w:r>
        <w:instrText xml:space="preserve"> PAGEREF _Toc3649 \h </w:instrText>
      </w:r>
      <w:r>
        <w:fldChar w:fldCharType="separate"/>
      </w:r>
      <w:r>
        <w:t>23</w:t>
      </w:r>
      <w:r>
        <w:fldChar w:fldCharType="end"/>
      </w:r>
      <w:r>
        <w:rPr>
          <w:rFonts w:hint="eastAsia" w:ascii="仿宋" w:hAnsi="仿宋" w:eastAsia="仿宋" w:cs="仿宋"/>
          <w:szCs w:val="21"/>
        </w:rPr>
        <w:fldChar w:fldCharType="end"/>
      </w:r>
    </w:p>
    <w:p w14:paraId="259EDD9F">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_Toc17900 </w:instrText>
      </w:r>
      <w:r>
        <w:rPr>
          <w:rFonts w:hint="eastAsia" w:ascii="仿宋" w:hAnsi="仿宋" w:eastAsia="仿宋" w:cs="仿宋"/>
          <w:szCs w:val="21"/>
        </w:rPr>
        <w:fldChar w:fldCharType="separate"/>
      </w:r>
      <w:r>
        <w:rPr>
          <w:rFonts w:hint="eastAsia" w:ascii="宋体" w:hAnsi="宋体" w:eastAsia="宋体" w:cs="仿宋"/>
          <w:szCs w:val="24"/>
        </w:rPr>
        <w:t xml:space="preserve">1. </w:t>
      </w:r>
      <w:r>
        <w:rPr>
          <w:rFonts w:hint="eastAsia" w:ascii="仿宋" w:hAnsi="仿宋" w:eastAsia="仿宋" w:cs="仿宋"/>
          <w:szCs w:val="24"/>
        </w:rPr>
        <w:t>评标方法</w:t>
      </w:r>
      <w:r>
        <w:tab/>
      </w:r>
      <w:r>
        <w:fldChar w:fldCharType="begin"/>
      </w:r>
      <w:r>
        <w:instrText xml:space="preserve"> PAGEREF _Toc17900 \h </w:instrText>
      </w:r>
      <w:r>
        <w:fldChar w:fldCharType="separate"/>
      </w:r>
      <w:r>
        <w:t>26</w:t>
      </w:r>
      <w:r>
        <w:fldChar w:fldCharType="end"/>
      </w:r>
      <w:r>
        <w:rPr>
          <w:rFonts w:hint="eastAsia" w:ascii="仿宋" w:hAnsi="仿宋" w:eastAsia="仿宋" w:cs="仿宋"/>
          <w:szCs w:val="21"/>
        </w:rPr>
        <w:fldChar w:fldCharType="end"/>
      </w:r>
    </w:p>
    <w:p w14:paraId="53219F03">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_Toc2999 </w:instrText>
      </w:r>
      <w:r>
        <w:rPr>
          <w:rFonts w:hint="eastAsia" w:ascii="仿宋" w:hAnsi="仿宋" w:eastAsia="仿宋" w:cs="仿宋"/>
          <w:szCs w:val="21"/>
        </w:rPr>
        <w:fldChar w:fldCharType="separate"/>
      </w:r>
      <w:r>
        <w:rPr>
          <w:rFonts w:hint="eastAsia" w:ascii="宋体" w:hAnsi="宋体" w:eastAsia="宋体" w:cs="仿宋"/>
          <w:szCs w:val="24"/>
        </w:rPr>
        <w:t xml:space="preserve">2. </w:t>
      </w:r>
      <w:r>
        <w:rPr>
          <w:rFonts w:hint="eastAsia" w:ascii="仿宋" w:hAnsi="仿宋" w:eastAsia="仿宋" w:cs="仿宋"/>
          <w:szCs w:val="24"/>
        </w:rPr>
        <w:t>评审标准</w:t>
      </w:r>
      <w:r>
        <w:tab/>
      </w:r>
      <w:r>
        <w:fldChar w:fldCharType="begin"/>
      </w:r>
      <w:r>
        <w:instrText xml:space="preserve"> PAGEREF _Toc2999 \h </w:instrText>
      </w:r>
      <w:r>
        <w:fldChar w:fldCharType="separate"/>
      </w:r>
      <w:r>
        <w:t>26</w:t>
      </w:r>
      <w:r>
        <w:fldChar w:fldCharType="end"/>
      </w:r>
      <w:r>
        <w:rPr>
          <w:rFonts w:hint="eastAsia" w:ascii="仿宋" w:hAnsi="仿宋" w:eastAsia="仿宋" w:cs="仿宋"/>
          <w:szCs w:val="21"/>
        </w:rPr>
        <w:fldChar w:fldCharType="end"/>
      </w:r>
    </w:p>
    <w:p w14:paraId="1D0EE976">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_Toc7203 </w:instrText>
      </w:r>
      <w:r>
        <w:rPr>
          <w:rFonts w:hint="eastAsia" w:ascii="仿宋" w:hAnsi="仿宋" w:eastAsia="仿宋" w:cs="仿宋"/>
          <w:szCs w:val="21"/>
        </w:rPr>
        <w:fldChar w:fldCharType="separate"/>
      </w:r>
      <w:r>
        <w:rPr>
          <w:rFonts w:hint="eastAsia" w:ascii="宋体" w:hAnsi="宋体" w:eastAsia="宋体" w:cs="仿宋"/>
          <w:szCs w:val="24"/>
        </w:rPr>
        <w:t xml:space="preserve">3. </w:t>
      </w:r>
      <w:r>
        <w:rPr>
          <w:rFonts w:hint="eastAsia" w:ascii="仿宋" w:hAnsi="仿宋" w:eastAsia="仿宋" w:cs="仿宋"/>
          <w:szCs w:val="24"/>
        </w:rPr>
        <w:t>评标程序</w:t>
      </w:r>
      <w:r>
        <w:tab/>
      </w:r>
      <w:r>
        <w:fldChar w:fldCharType="begin"/>
      </w:r>
      <w:r>
        <w:instrText xml:space="preserve"> PAGEREF _Toc7203 \h </w:instrText>
      </w:r>
      <w:r>
        <w:fldChar w:fldCharType="separate"/>
      </w:r>
      <w:r>
        <w:t>26</w:t>
      </w:r>
      <w:r>
        <w:fldChar w:fldCharType="end"/>
      </w:r>
      <w:r>
        <w:rPr>
          <w:rFonts w:hint="eastAsia" w:ascii="仿宋" w:hAnsi="仿宋" w:eastAsia="仿宋" w:cs="仿宋"/>
          <w:szCs w:val="21"/>
        </w:rPr>
        <w:fldChar w:fldCharType="end"/>
      </w:r>
    </w:p>
    <w:p w14:paraId="7CCEF2C6">
      <w:pPr>
        <w:pStyle w:val="11"/>
        <w:tabs>
          <w:tab w:val="right" w:leader="dot" w:pos="8504"/>
          <w:tab w:val="clear" w:pos="567"/>
          <w:tab w:val="clear" w:pos="709"/>
          <w:tab w:val="clear" w:pos="8505"/>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_Toc3309 </w:instrText>
      </w:r>
      <w:r>
        <w:rPr>
          <w:rFonts w:hint="eastAsia" w:ascii="仿宋" w:hAnsi="仿宋" w:eastAsia="仿宋" w:cs="仿宋"/>
          <w:szCs w:val="21"/>
        </w:rPr>
        <w:fldChar w:fldCharType="separate"/>
      </w:r>
      <w:r>
        <w:rPr>
          <w:rFonts w:hint="eastAsia" w:ascii="仿宋" w:hAnsi="仿宋" w:eastAsia="仿宋" w:cs="仿宋"/>
          <w:bCs w:val="0"/>
          <w:kern w:val="0"/>
          <w:szCs w:val="32"/>
        </w:rPr>
        <w:t>第四章 合同条款（样例）</w:t>
      </w:r>
      <w:r>
        <w:tab/>
      </w:r>
      <w:r>
        <w:fldChar w:fldCharType="begin"/>
      </w:r>
      <w:r>
        <w:instrText xml:space="preserve"> PAGEREF _Toc3309 \h </w:instrText>
      </w:r>
      <w:r>
        <w:fldChar w:fldCharType="separate"/>
      </w:r>
      <w:r>
        <w:t>29</w:t>
      </w:r>
      <w:r>
        <w:fldChar w:fldCharType="end"/>
      </w:r>
      <w:r>
        <w:rPr>
          <w:rFonts w:hint="eastAsia" w:ascii="仿宋" w:hAnsi="仿宋" w:eastAsia="仿宋" w:cs="仿宋"/>
          <w:szCs w:val="21"/>
        </w:rPr>
        <w:fldChar w:fldCharType="end"/>
      </w:r>
    </w:p>
    <w:p w14:paraId="6D7D99FF">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_Toc15889 </w:instrText>
      </w:r>
      <w:r>
        <w:rPr>
          <w:rFonts w:hint="eastAsia" w:ascii="仿宋" w:hAnsi="仿宋" w:eastAsia="仿宋" w:cs="仿宋"/>
          <w:szCs w:val="21"/>
        </w:rPr>
        <w:fldChar w:fldCharType="separate"/>
      </w:r>
      <w:r>
        <w:rPr>
          <w:rFonts w:hint="eastAsia" w:ascii="仿宋" w:hAnsi="仿宋" w:eastAsia="仿宋" w:cs="仿宋"/>
          <w:bCs/>
          <w:szCs w:val="46"/>
        </w:rPr>
        <w:t>第一部分 合同书</w:t>
      </w:r>
      <w:r>
        <w:tab/>
      </w:r>
      <w:r>
        <w:fldChar w:fldCharType="begin"/>
      </w:r>
      <w:r>
        <w:instrText xml:space="preserve"> PAGEREF _Toc15889 \h </w:instrText>
      </w:r>
      <w:r>
        <w:fldChar w:fldCharType="separate"/>
      </w:r>
      <w:r>
        <w:t>29</w:t>
      </w:r>
      <w:r>
        <w:fldChar w:fldCharType="end"/>
      </w:r>
      <w:r>
        <w:rPr>
          <w:rFonts w:hint="eastAsia" w:ascii="仿宋" w:hAnsi="仿宋" w:eastAsia="仿宋" w:cs="仿宋"/>
          <w:szCs w:val="21"/>
        </w:rPr>
        <w:fldChar w:fldCharType="end"/>
      </w:r>
    </w:p>
    <w:p w14:paraId="7E60199D">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_Toc8970 </w:instrText>
      </w:r>
      <w:r>
        <w:rPr>
          <w:rFonts w:hint="eastAsia" w:ascii="仿宋" w:hAnsi="仿宋" w:eastAsia="仿宋" w:cs="仿宋"/>
          <w:szCs w:val="21"/>
        </w:rPr>
        <w:fldChar w:fldCharType="separate"/>
      </w:r>
      <w:r>
        <w:rPr>
          <w:rFonts w:hint="eastAsia" w:ascii="仿宋" w:hAnsi="仿宋" w:eastAsia="仿宋" w:cs="仿宋"/>
          <w:bCs/>
          <w:szCs w:val="46"/>
        </w:rPr>
        <w:t>第二部分 合同一般条款</w:t>
      </w:r>
      <w:r>
        <w:tab/>
      </w:r>
      <w:r>
        <w:fldChar w:fldCharType="begin"/>
      </w:r>
      <w:r>
        <w:instrText xml:space="preserve"> PAGEREF _Toc8970 \h </w:instrText>
      </w:r>
      <w:r>
        <w:fldChar w:fldCharType="separate"/>
      </w:r>
      <w:r>
        <w:t>33</w:t>
      </w:r>
      <w:r>
        <w:fldChar w:fldCharType="end"/>
      </w:r>
      <w:r>
        <w:rPr>
          <w:rFonts w:hint="eastAsia" w:ascii="仿宋" w:hAnsi="仿宋" w:eastAsia="仿宋" w:cs="仿宋"/>
          <w:szCs w:val="21"/>
        </w:rPr>
        <w:fldChar w:fldCharType="end"/>
      </w:r>
    </w:p>
    <w:p w14:paraId="73BAA1D8">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_Toc16932 </w:instrText>
      </w:r>
      <w:r>
        <w:rPr>
          <w:rFonts w:hint="eastAsia" w:ascii="仿宋" w:hAnsi="仿宋" w:eastAsia="仿宋" w:cs="仿宋"/>
          <w:szCs w:val="21"/>
        </w:rPr>
        <w:fldChar w:fldCharType="separate"/>
      </w:r>
      <w:r>
        <w:rPr>
          <w:rFonts w:hint="eastAsia" w:ascii="仿宋" w:hAnsi="仿宋" w:eastAsia="仿宋" w:cs="仿宋"/>
          <w:bCs/>
          <w:szCs w:val="46"/>
        </w:rPr>
        <w:t>第三部分 合同专用条款</w:t>
      </w:r>
      <w:r>
        <w:tab/>
      </w:r>
      <w:r>
        <w:fldChar w:fldCharType="begin"/>
      </w:r>
      <w:r>
        <w:instrText xml:space="preserve"> PAGEREF _Toc16932 \h </w:instrText>
      </w:r>
      <w:r>
        <w:fldChar w:fldCharType="separate"/>
      </w:r>
      <w:r>
        <w:t>38</w:t>
      </w:r>
      <w:r>
        <w:fldChar w:fldCharType="end"/>
      </w:r>
      <w:r>
        <w:rPr>
          <w:rFonts w:hint="eastAsia" w:ascii="仿宋" w:hAnsi="仿宋" w:eastAsia="仿宋" w:cs="仿宋"/>
          <w:szCs w:val="21"/>
        </w:rPr>
        <w:fldChar w:fldCharType="end"/>
      </w:r>
    </w:p>
    <w:p w14:paraId="57CD0DB3">
      <w:pPr>
        <w:pStyle w:val="11"/>
        <w:tabs>
          <w:tab w:val="right" w:leader="dot" w:pos="8504"/>
          <w:tab w:val="clear" w:pos="567"/>
          <w:tab w:val="clear" w:pos="709"/>
          <w:tab w:val="clear" w:pos="8505"/>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_Toc5434 </w:instrText>
      </w:r>
      <w:r>
        <w:rPr>
          <w:rFonts w:hint="eastAsia" w:ascii="仿宋" w:hAnsi="仿宋" w:eastAsia="仿宋" w:cs="仿宋"/>
          <w:szCs w:val="21"/>
        </w:rPr>
        <w:fldChar w:fldCharType="separate"/>
      </w:r>
      <w:r>
        <w:rPr>
          <w:rFonts w:hint="eastAsia" w:ascii="仿宋" w:hAnsi="仿宋" w:eastAsia="仿宋" w:cs="仿宋"/>
          <w:kern w:val="0"/>
          <w:lang w:val="en-US" w:eastAsia="zh-CN"/>
        </w:rPr>
        <w:t>第五章 服务需求</w:t>
      </w:r>
      <w:r>
        <w:tab/>
      </w:r>
      <w:r>
        <w:fldChar w:fldCharType="begin"/>
      </w:r>
      <w:r>
        <w:instrText xml:space="preserve"> PAGEREF _Toc5434 \h </w:instrText>
      </w:r>
      <w:r>
        <w:fldChar w:fldCharType="separate"/>
      </w:r>
      <w:r>
        <w:t>39</w:t>
      </w:r>
      <w:r>
        <w:fldChar w:fldCharType="end"/>
      </w:r>
      <w:r>
        <w:rPr>
          <w:rFonts w:hint="eastAsia" w:ascii="仿宋" w:hAnsi="仿宋" w:eastAsia="仿宋" w:cs="仿宋"/>
          <w:szCs w:val="21"/>
        </w:rPr>
        <w:fldChar w:fldCharType="end"/>
      </w:r>
    </w:p>
    <w:p w14:paraId="0F2C5F83">
      <w:pPr>
        <w:pStyle w:val="11"/>
        <w:tabs>
          <w:tab w:val="right" w:leader="dot" w:pos="8504"/>
          <w:tab w:val="clear" w:pos="567"/>
          <w:tab w:val="clear" w:pos="709"/>
          <w:tab w:val="clear" w:pos="8505"/>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_Toc31610 </w:instrText>
      </w:r>
      <w:r>
        <w:rPr>
          <w:rFonts w:hint="eastAsia" w:ascii="仿宋" w:hAnsi="仿宋" w:eastAsia="仿宋" w:cs="仿宋"/>
          <w:szCs w:val="21"/>
        </w:rPr>
        <w:fldChar w:fldCharType="separate"/>
      </w:r>
      <w:r>
        <w:rPr>
          <w:rFonts w:hint="eastAsia" w:ascii="仿宋" w:hAnsi="仿宋" w:eastAsia="仿宋" w:cs="仿宋"/>
        </w:rPr>
        <w:t>第六章 投标文件格式</w:t>
      </w:r>
      <w:r>
        <w:tab/>
      </w:r>
      <w:r>
        <w:fldChar w:fldCharType="begin"/>
      </w:r>
      <w:r>
        <w:instrText xml:space="preserve"> PAGEREF _Toc31610 \h </w:instrText>
      </w:r>
      <w:r>
        <w:fldChar w:fldCharType="separate"/>
      </w:r>
      <w:r>
        <w:t>43</w:t>
      </w:r>
      <w:r>
        <w:fldChar w:fldCharType="end"/>
      </w:r>
      <w:r>
        <w:rPr>
          <w:rFonts w:hint="eastAsia" w:ascii="仿宋" w:hAnsi="仿宋" w:eastAsia="仿宋" w:cs="仿宋"/>
          <w:szCs w:val="21"/>
        </w:rPr>
        <w:fldChar w:fldCharType="end"/>
      </w:r>
    </w:p>
    <w:p w14:paraId="352BB901">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_Toc6177 </w:instrText>
      </w:r>
      <w:r>
        <w:rPr>
          <w:rFonts w:hint="eastAsia" w:ascii="仿宋" w:hAnsi="仿宋" w:eastAsia="仿宋" w:cs="仿宋"/>
          <w:szCs w:val="21"/>
        </w:rPr>
        <w:fldChar w:fldCharType="separate"/>
      </w:r>
      <w:r>
        <w:rPr>
          <w:rFonts w:hint="eastAsia" w:ascii="仿宋" w:hAnsi="仿宋" w:eastAsia="仿宋" w:cs="仿宋"/>
          <w:szCs w:val="21"/>
          <w:lang w:val="en-US" w:eastAsia="zh-CN"/>
        </w:rPr>
        <w:t>2</w:t>
      </w:r>
      <w:r>
        <w:rPr>
          <w:rFonts w:hint="eastAsia" w:ascii="仿宋" w:hAnsi="仿宋" w:eastAsia="仿宋" w:cs="仿宋"/>
          <w:szCs w:val="21"/>
        </w:rPr>
        <w:t>.法定代表人身份证明</w:t>
      </w:r>
      <w:r>
        <w:tab/>
      </w:r>
      <w:r>
        <w:fldChar w:fldCharType="begin"/>
      </w:r>
      <w:r>
        <w:instrText xml:space="preserve"> PAGEREF _Toc6177 \h </w:instrText>
      </w:r>
      <w:r>
        <w:fldChar w:fldCharType="separate"/>
      </w:r>
      <w:r>
        <w:t>47</w:t>
      </w:r>
      <w:r>
        <w:fldChar w:fldCharType="end"/>
      </w:r>
      <w:r>
        <w:rPr>
          <w:rFonts w:hint="eastAsia" w:ascii="仿宋" w:hAnsi="仿宋" w:eastAsia="仿宋" w:cs="仿宋"/>
          <w:szCs w:val="21"/>
        </w:rPr>
        <w:fldChar w:fldCharType="end"/>
      </w:r>
    </w:p>
    <w:p w14:paraId="5B4AB28D">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_Toc18981 </w:instrText>
      </w:r>
      <w:r>
        <w:rPr>
          <w:rFonts w:hint="eastAsia" w:ascii="仿宋" w:hAnsi="仿宋" w:eastAsia="仿宋" w:cs="仿宋"/>
          <w:szCs w:val="21"/>
        </w:rPr>
        <w:fldChar w:fldCharType="separate"/>
      </w:r>
      <w:r>
        <w:rPr>
          <w:rFonts w:hint="eastAsia" w:ascii="仿宋" w:hAnsi="仿宋" w:eastAsia="仿宋" w:cs="仿宋"/>
          <w:szCs w:val="21"/>
          <w:lang w:val="en-US" w:eastAsia="zh-CN"/>
        </w:rPr>
        <w:t>3</w:t>
      </w:r>
      <w:r>
        <w:rPr>
          <w:rFonts w:hint="eastAsia" w:ascii="仿宋" w:hAnsi="仿宋" w:eastAsia="仿宋" w:cs="仿宋"/>
          <w:szCs w:val="21"/>
        </w:rPr>
        <w:t>.法定代表人授权委托书</w:t>
      </w:r>
      <w:r>
        <w:tab/>
      </w:r>
      <w:r>
        <w:fldChar w:fldCharType="begin"/>
      </w:r>
      <w:r>
        <w:instrText xml:space="preserve"> PAGEREF _Toc18981 \h </w:instrText>
      </w:r>
      <w:r>
        <w:fldChar w:fldCharType="separate"/>
      </w:r>
      <w:r>
        <w:t>48</w:t>
      </w:r>
      <w:r>
        <w:fldChar w:fldCharType="end"/>
      </w:r>
      <w:r>
        <w:rPr>
          <w:rFonts w:hint="eastAsia" w:ascii="仿宋" w:hAnsi="仿宋" w:eastAsia="仿宋" w:cs="仿宋"/>
          <w:szCs w:val="21"/>
        </w:rPr>
        <w:fldChar w:fldCharType="end"/>
      </w:r>
    </w:p>
    <w:p w14:paraId="54894C2C">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_Toc31136 </w:instrText>
      </w:r>
      <w:r>
        <w:rPr>
          <w:rFonts w:hint="eastAsia" w:ascii="仿宋" w:hAnsi="仿宋" w:eastAsia="仿宋" w:cs="仿宋"/>
          <w:szCs w:val="21"/>
        </w:rPr>
        <w:fldChar w:fldCharType="separate"/>
      </w:r>
      <w:r>
        <w:rPr>
          <w:rFonts w:hint="eastAsia" w:ascii="仿宋" w:hAnsi="仿宋" w:eastAsia="仿宋" w:cs="仿宋"/>
          <w:szCs w:val="21"/>
          <w:lang w:val="en-US" w:eastAsia="zh-CN"/>
        </w:rPr>
        <w:t>4</w:t>
      </w:r>
      <w:r>
        <w:rPr>
          <w:rFonts w:hint="eastAsia" w:ascii="仿宋" w:hAnsi="仿宋" w:eastAsia="仿宋" w:cs="仿宋"/>
          <w:szCs w:val="21"/>
        </w:rPr>
        <w:t>.</w:t>
      </w:r>
      <w:r>
        <w:rPr>
          <w:rFonts w:hint="eastAsia" w:ascii="仿宋" w:hAnsi="仿宋" w:eastAsia="仿宋" w:cs="仿宋"/>
          <w:szCs w:val="24"/>
        </w:rPr>
        <w:t>投标人控股及管理关系情况申报表</w:t>
      </w:r>
      <w:r>
        <w:tab/>
      </w:r>
      <w:r>
        <w:fldChar w:fldCharType="begin"/>
      </w:r>
      <w:r>
        <w:instrText xml:space="preserve"> PAGEREF _Toc31136 \h </w:instrText>
      </w:r>
      <w:r>
        <w:fldChar w:fldCharType="separate"/>
      </w:r>
      <w:r>
        <w:t>49</w:t>
      </w:r>
      <w:r>
        <w:fldChar w:fldCharType="end"/>
      </w:r>
      <w:r>
        <w:rPr>
          <w:rFonts w:hint="eastAsia" w:ascii="仿宋" w:hAnsi="仿宋" w:eastAsia="仿宋" w:cs="仿宋"/>
          <w:szCs w:val="21"/>
        </w:rPr>
        <w:fldChar w:fldCharType="end"/>
      </w:r>
    </w:p>
    <w:p w14:paraId="23F08616">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_Toc16971 </w:instrText>
      </w:r>
      <w:r>
        <w:rPr>
          <w:rFonts w:hint="eastAsia" w:ascii="仿宋" w:hAnsi="仿宋" w:eastAsia="仿宋" w:cs="仿宋"/>
          <w:szCs w:val="21"/>
        </w:rPr>
        <w:fldChar w:fldCharType="separate"/>
      </w:r>
      <w:r>
        <w:rPr>
          <w:rFonts w:hint="eastAsia" w:ascii="仿宋" w:hAnsi="仿宋" w:eastAsia="仿宋" w:cs="仿宋"/>
          <w:bCs/>
          <w:szCs w:val="21"/>
          <w:lang w:val="en-US" w:eastAsia="zh-CN"/>
        </w:rPr>
        <w:t>5</w:t>
      </w:r>
      <w:r>
        <w:rPr>
          <w:rFonts w:hint="eastAsia" w:ascii="仿宋" w:hAnsi="仿宋" w:eastAsia="仿宋" w:cs="仿宋"/>
          <w:bCs/>
          <w:szCs w:val="21"/>
        </w:rPr>
        <w:t>.</w:t>
      </w:r>
      <w:r>
        <w:rPr>
          <w:rFonts w:hint="eastAsia" w:ascii="仿宋" w:hAnsi="仿宋" w:eastAsia="仿宋" w:cs="仿宋"/>
          <w:bCs/>
        </w:rPr>
        <w:t>“※初步审查标准”中要求提供的证明文件或其他材料</w:t>
      </w:r>
      <w:r>
        <w:tab/>
      </w:r>
      <w:r>
        <w:fldChar w:fldCharType="begin"/>
      </w:r>
      <w:r>
        <w:instrText xml:space="preserve"> PAGEREF _Toc16971 \h </w:instrText>
      </w:r>
      <w:r>
        <w:fldChar w:fldCharType="separate"/>
      </w:r>
      <w:r>
        <w:t>50</w:t>
      </w:r>
      <w:r>
        <w:fldChar w:fldCharType="end"/>
      </w:r>
      <w:r>
        <w:rPr>
          <w:rFonts w:hint="eastAsia" w:ascii="仿宋" w:hAnsi="仿宋" w:eastAsia="仿宋" w:cs="仿宋"/>
          <w:szCs w:val="21"/>
        </w:rPr>
        <w:fldChar w:fldCharType="end"/>
      </w:r>
    </w:p>
    <w:p w14:paraId="36623140">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_Toc11236 </w:instrText>
      </w:r>
      <w:r>
        <w:rPr>
          <w:rFonts w:hint="eastAsia" w:ascii="仿宋" w:hAnsi="仿宋" w:eastAsia="仿宋" w:cs="仿宋"/>
          <w:szCs w:val="21"/>
        </w:rPr>
        <w:fldChar w:fldCharType="separate"/>
      </w:r>
      <w:r>
        <w:rPr>
          <w:rFonts w:hint="eastAsia" w:ascii="仿宋" w:hAnsi="仿宋" w:eastAsia="仿宋" w:cs="仿宋"/>
          <w:bCs/>
          <w:szCs w:val="21"/>
        </w:rPr>
        <w:t>（二）商务部分</w:t>
      </w:r>
      <w:r>
        <w:tab/>
      </w:r>
      <w:r>
        <w:fldChar w:fldCharType="begin"/>
      </w:r>
      <w:r>
        <w:instrText xml:space="preserve"> PAGEREF _Toc11236 \h </w:instrText>
      </w:r>
      <w:r>
        <w:fldChar w:fldCharType="separate"/>
      </w:r>
      <w:r>
        <w:t>51</w:t>
      </w:r>
      <w:r>
        <w:fldChar w:fldCharType="end"/>
      </w:r>
      <w:r>
        <w:rPr>
          <w:rFonts w:hint="eastAsia" w:ascii="仿宋" w:hAnsi="仿宋" w:eastAsia="仿宋" w:cs="仿宋"/>
          <w:szCs w:val="21"/>
        </w:rPr>
        <w:fldChar w:fldCharType="end"/>
      </w:r>
    </w:p>
    <w:p w14:paraId="11572060">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_Toc2433 </w:instrText>
      </w:r>
      <w:r>
        <w:rPr>
          <w:rFonts w:hint="eastAsia" w:ascii="仿宋" w:hAnsi="仿宋" w:eastAsia="仿宋" w:cs="仿宋"/>
          <w:szCs w:val="21"/>
        </w:rPr>
        <w:fldChar w:fldCharType="separate"/>
      </w:r>
      <w:r>
        <w:rPr>
          <w:rFonts w:hint="eastAsia" w:ascii="仿宋" w:hAnsi="仿宋" w:eastAsia="仿宋" w:cs="仿宋"/>
          <w:bCs/>
          <w:szCs w:val="21"/>
        </w:rPr>
        <w:t>※1.开标一览表</w:t>
      </w:r>
      <w:r>
        <w:tab/>
      </w:r>
      <w:r>
        <w:fldChar w:fldCharType="begin"/>
      </w:r>
      <w:r>
        <w:instrText xml:space="preserve"> PAGEREF _Toc2433 \h </w:instrText>
      </w:r>
      <w:r>
        <w:fldChar w:fldCharType="separate"/>
      </w:r>
      <w:r>
        <w:t>51</w:t>
      </w:r>
      <w:r>
        <w:fldChar w:fldCharType="end"/>
      </w:r>
      <w:r>
        <w:rPr>
          <w:rFonts w:hint="eastAsia" w:ascii="仿宋" w:hAnsi="仿宋" w:eastAsia="仿宋" w:cs="仿宋"/>
          <w:szCs w:val="21"/>
        </w:rPr>
        <w:fldChar w:fldCharType="end"/>
      </w:r>
    </w:p>
    <w:p w14:paraId="76425523">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_Toc12766 </w:instrText>
      </w:r>
      <w:r>
        <w:rPr>
          <w:rFonts w:hint="eastAsia" w:ascii="仿宋" w:hAnsi="仿宋" w:eastAsia="仿宋" w:cs="仿宋"/>
          <w:szCs w:val="21"/>
        </w:rPr>
        <w:fldChar w:fldCharType="separate"/>
      </w:r>
      <w:r>
        <w:rPr>
          <w:rFonts w:hint="eastAsia" w:ascii="仿宋" w:hAnsi="仿宋" w:eastAsia="仿宋" w:cs="仿宋"/>
          <w:szCs w:val="21"/>
        </w:rPr>
        <w:t>2.分项报价表</w:t>
      </w:r>
      <w:r>
        <w:tab/>
      </w:r>
      <w:r>
        <w:fldChar w:fldCharType="begin"/>
      </w:r>
      <w:r>
        <w:instrText xml:space="preserve"> PAGEREF _Toc12766 \h </w:instrText>
      </w:r>
      <w:r>
        <w:fldChar w:fldCharType="separate"/>
      </w:r>
      <w:r>
        <w:t>52</w:t>
      </w:r>
      <w:r>
        <w:fldChar w:fldCharType="end"/>
      </w:r>
      <w:r>
        <w:rPr>
          <w:rFonts w:hint="eastAsia" w:ascii="仿宋" w:hAnsi="仿宋" w:eastAsia="仿宋" w:cs="仿宋"/>
          <w:szCs w:val="21"/>
        </w:rPr>
        <w:fldChar w:fldCharType="end"/>
      </w:r>
    </w:p>
    <w:p w14:paraId="48DA4F05">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_Toc987 </w:instrText>
      </w:r>
      <w:r>
        <w:rPr>
          <w:rFonts w:hint="eastAsia" w:ascii="仿宋" w:hAnsi="仿宋" w:eastAsia="仿宋" w:cs="仿宋"/>
          <w:szCs w:val="21"/>
        </w:rPr>
        <w:fldChar w:fldCharType="separate"/>
      </w:r>
      <w:r>
        <w:rPr>
          <w:rFonts w:hint="eastAsia" w:ascii="仿宋" w:hAnsi="仿宋" w:eastAsia="仿宋" w:cs="仿宋"/>
          <w:szCs w:val="21"/>
        </w:rPr>
        <w:t>3.评分标准要求递交的证明文件</w:t>
      </w:r>
      <w:r>
        <w:tab/>
      </w:r>
      <w:r>
        <w:fldChar w:fldCharType="begin"/>
      </w:r>
      <w:r>
        <w:instrText xml:space="preserve"> PAGEREF _Toc987 \h </w:instrText>
      </w:r>
      <w:r>
        <w:fldChar w:fldCharType="separate"/>
      </w:r>
      <w:r>
        <w:t>53</w:t>
      </w:r>
      <w:r>
        <w:fldChar w:fldCharType="end"/>
      </w:r>
      <w:r>
        <w:rPr>
          <w:rFonts w:hint="eastAsia" w:ascii="仿宋" w:hAnsi="仿宋" w:eastAsia="仿宋" w:cs="仿宋"/>
          <w:szCs w:val="21"/>
        </w:rPr>
        <w:fldChar w:fldCharType="end"/>
      </w:r>
    </w:p>
    <w:p w14:paraId="5734B6D0">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_Toc16534 </w:instrText>
      </w:r>
      <w:r>
        <w:rPr>
          <w:rFonts w:hint="eastAsia" w:ascii="仿宋" w:hAnsi="仿宋" w:eastAsia="仿宋" w:cs="仿宋"/>
          <w:szCs w:val="21"/>
        </w:rPr>
        <w:fldChar w:fldCharType="separate"/>
      </w:r>
      <w:r>
        <w:rPr>
          <w:rFonts w:hint="eastAsia" w:ascii="仿宋" w:hAnsi="仿宋" w:eastAsia="仿宋" w:cs="仿宋"/>
          <w:kern w:val="0"/>
          <w:szCs w:val="24"/>
        </w:rPr>
        <w:t>4.中小企业声明函</w:t>
      </w:r>
      <w:r>
        <w:tab/>
      </w:r>
      <w:r>
        <w:fldChar w:fldCharType="begin"/>
      </w:r>
      <w:r>
        <w:instrText xml:space="preserve"> PAGEREF _Toc16534 \h </w:instrText>
      </w:r>
      <w:r>
        <w:fldChar w:fldCharType="separate"/>
      </w:r>
      <w:r>
        <w:t>54</w:t>
      </w:r>
      <w:r>
        <w:fldChar w:fldCharType="end"/>
      </w:r>
      <w:r>
        <w:rPr>
          <w:rFonts w:hint="eastAsia" w:ascii="仿宋" w:hAnsi="仿宋" w:eastAsia="仿宋" w:cs="仿宋"/>
          <w:szCs w:val="21"/>
        </w:rPr>
        <w:fldChar w:fldCharType="end"/>
      </w:r>
    </w:p>
    <w:p w14:paraId="1145E256">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_Toc30333 </w:instrText>
      </w:r>
      <w:r>
        <w:rPr>
          <w:rFonts w:hint="eastAsia" w:ascii="仿宋" w:hAnsi="仿宋" w:eastAsia="仿宋" w:cs="仿宋"/>
          <w:szCs w:val="21"/>
        </w:rPr>
        <w:fldChar w:fldCharType="separate"/>
      </w:r>
      <w:r>
        <w:rPr>
          <w:rFonts w:hint="eastAsia" w:ascii="仿宋" w:hAnsi="仿宋" w:eastAsia="仿宋" w:cs="仿宋"/>
          <w:szCs w:val="21"/>
        </w:rPr>
        <w:t>5.其他资料</w:t>
      </w:r>
      <w:r>
        <w:tab/>
      </w:r>
      <w:r>
        <w:fldChar w:fldCharType="begin"/>
      </w:r>
      <w:r>
        <w:instrText xml:space="preserve"> PAGEREF _Toc30333 \h </w:instrText>
      </w:r>
      <w:r>
        <w:fldChar w:fldCharType="separate"/>
      </w:r>
      <w:r>
        <w:t>56</w:t>
      </w:r>
      <w:r>
        <w:fldChar w:fldCharType="end"/>
      </w:r>
      <w:r>
        <w:rPr>
          <w:rFonts w:hint="eastAsia" w:ascii="仿宋" w:hAnsi="仿宋" w:eastAsia="仿宋" w:cs="仿宋"/>
          <w:szCs w:val="21"/>
        </w:rPr>
        <w:fldChar w:fldCharType="end"/>
      </w:r>
    </w:p>
    <w:p w14:paraId="5A944ACC">
      <w:pPr>
        <w:pStyle w:val="12"/>
        <w:tabs>
          <w:tab w:val="right" w:leader="dot" w:pos="8504"/>
          <w:tab w:val="clear" w:pos="567"/>
          <w:tab w:val="clear" w:pos="8505"/>
          <w:tab w:val="clear" w:pos="9628"/>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_Toc17398 </w:instrText>
      </w:r>
      <w:r>
        <w:rPr>
          <w:rFonts w:hint="eastAsia" w:ascii="仿宋" w:hAnsi="仿宋" w:eastAsia="仿宋" w:cs="仿宋"/>
          <w:szCs w:val="21"/>
        </w:rPr>
        <w:fldChar w:fldCharType="separate"/>
      </w:r>
      <w:r>
        <w:rPr>
          <w:rFonts w:hint="eastAsia" w:ascii="仿宋" w:hAnsi="仿宋" w:eastAsia="仿宋" w:cs="仿宋"/>
          <w:szCs w:val="21"/>
        </w:rPr>
        <w:t>（三）技术部分</w:t>
      </w:r>
      <w:r>
        <w:tab/>
      </w:r>
      <w:r>
        <w:fldChar w:fldCharType="begin"/>
      </w:r>
      <w:r>
        <w:instrText xml:space="preserve"> PAGEREF _Toc17398 \h </w:instrText>
      </w:r>
      <w:r>
        <w:fldChar w:fldCharType="separate"/>
      </w:r>
      <w:r>
        <w:t>57</w:t>
      </w:r>
      <w:r>
        <w:fldChar w:fldCharType="end"/>
      </w:r>
      <w:r>
        <w:rPr>
          <w:rFonts w:hint="eastAsia" w:ascii="仿宋" w:hAnsi="仿宋" w:eastAsia="仿宋" w:cs="仿宋"/>
          <w:szCs w:val="21"/>
        </w:rPr>
        <w:fldChar w:fldCharType="end"/>
      </w:r>
    </w:p>
    <w:p w14:paraId="7D2588BB">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_Toc13233 </w:instrText>
      </w:r>
      <w:r>
        <w:rPr>
          <w:rFonts w:hint="eastAsia" w:ascii="仿宋" w:hAnsi="仿宋" w:eastAsia="仿宋" w:cs="仿宋"/>
          <w:szCs w:val="21"/>
        </w:rPr>
        <w:fldChar w:fldCharType="separate"/>
      </w:r>
      <w:r>
        <w:rPr>
          <w:rFonts w:hint="eastAsia" w:ascii="仿宋" w:hAnsi="仿宋" w:eastAsia="仿宋" w:cs="仿宋"/>
          <w:szCs w:val="21"/>
        </w:rPr>
        <w:t>1.技术条款偏离表</w:t>
      </w:r>
      <w:r>
        <w:tab/>
      </w:r>
      <w:r>
        <w:fldChar w:fldCharType="begin"/>
      </w:r>
      <w:r>
        <w:instrText xml:space="preserve"> PAGEREF _Toc13233 \h </w:instrText>
      </w:r>
      <w:r>
        <w:fldChar w:fldCharType="separate"/>
      </w:r>
      <w:r>
        <w:t>57</w:t>
      </w:r>
      <w:r>
        <w:fldChar w:fldCharType="end"/>
      </w:r>
      <w:r>
        <w:rPr>
          <w:rFonts w:hint="eastAsia" w:ascii="仿宋" w:hAnsi="仿宋" w:eastAsia="仿宋" w:cs="仿宋"/>
          <w:szCs w:val="21"/>
        </w:rPr>
        <w:fldChar w:fldCharType="end"/>
      </w:r>
    </w:p>
    <w:p w14:paraId="3A00F923">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_Toc11004 </w:instrText>
      </w:r>
      <w:r>
        <w:rPr>
          <w:rFonts w:hint="eastAsia" w:ascii="仿宋" w:hAnsi="仿宋" w:eastAsia="仿宋" w:cs="仿宋"/>
          <w:szCs w:val="21"/>
        </w:rPr>
        <w:fldChar w:fldCharType="separate"/>
      </w:r>
      <w:r>
        <w:rPr>
          <w:rFonts w:hint="eastAsia" w:ascii="仿宋" w:hAnsi="仿宋" w:eastAsia="仿宋" w:cs="仿宋"/>
          <w:szCs w:val="21"/>
        </w:rPr>
        <w:t>2.评分标准要求递交的证明文件</w:t>
      </w:r>
      <w:r>
        <w:tab/>
      </w:r>
      <w:r>
        <w:fldChar w:fldCharType="begin"/>
      </w:r>
      <w:r>
        <w:instrText xml:space="preserve"> PAGEREF _Toc11004 \h </w:instrText>
      </w:r>
      <w:r>
        <w:fldChar w:fldCharType="separate"/>
      </w:r>
      <w:r>
        <w:t>58</w:t>
      </w:r>
      <w:r>
        <w:fldChar w:fldCharType="end"/>
      </w:r>
      <w:r>
        <w:rPr>
          <w:rFonts w:hint="eastAsia" w:ascii="仿宋" w:hAnsi="仿宋" w:eastAsia="仿宋" w:cs="仿宋"/>
          <w:szCs w:val="21"/>
        </w:rPr>
        <w:fldChar w:fldCharType="end"/>
      </w:r>
    </w:p>
    <w:p w14:paraId="0F653C27">
      <w:pPr>
        <w:pStyle w:val="7"/>
        <w:tabs>
          <w:tab w:val="right" w:leader="dot" w:pos="8504"/>
        </w:tabs>
      </w:pPr>
      <w:r>
        <w:rPr>
          <w:rFonts w:hint="eastAsia" w:ascii="仿宋" w:hAnsi="仿宋" w:eastAsia="仿宋" w:cs="仿宋"/>
          <w:szCs w:val="21"/>
        </w:rPr>
        <w:fldChar w:fldCharType="begin"/>
      </w:r>
      <w:r>
        <w:rPr>
          <w:rFonts w:hint="eastAsia" w:ascii="仿宋" w:hAnsi="仿宋" w:eastAsia="仿宋" w:cs="仿宋"/>
          <w:szCs w:val="21"/>
        </w:rPr>
        <w:instrText xml:space="preserve"> HYPERLINK \l _Toc17624 </w:instrText>
      </w:r>
      <w:r>
        <w:rPr>
          <w:rFonts w:hint="eastAsia" w:ascii="仿宋" w:hAnsi="仿宋" w:eastAsia="仿宋" w:cs="仿宋"/>
          <w:szCs w:val="21"/>
        </w:rPr>
        <w:fldChar w:fldCharType="separate"/>
      </w:r>
      <w:r>
        <w:rPr>
          <w:rFonts w:hint="eastAsia" w:ascii="仿宋" w:hAnsi="仿宋" w:eastAsia="仿宋" w:cs="仿宋"/>
          <w:szCs w:val="21"/>
        </w:rPr>
        <w:t>3.其他资料</w:t>
      </w:r>
      <w:r>
        <w:tab/>
      </w:r>
      <w:r>
        <w:fldChar w:fldCharType="begin"/>
      </w:r>
      <w:r>
        <w:instrText xml:space="preserve"> PAGEREF _Toc17624 \h </w:instrText>
      </w:r>
      <w:r>
        <w:fldChar w:fldCharType="separate"/>
      </w:r>
      <w:r>
        <w:t>58</w:t>
      </w:r>
      <w:r>
        <w:fldChar w:fldCharType="end"/>
      </w:r>
      <w:r>
        <w:rPr>
          <w:rFonts w:hint="eastAsia" w:ascii="仿宋" w:hAnsi="仿宋" w:eastAsia="仿宋" w:cs="仿宋"/>
          <w:szCs w:val="21"/>
        </w:rPr>
        <w:fldChar w:fldCharType="end"/>
      </w:r>
    </w:p>
    <w:p w14:paraId="613676F8">
      <w:pPr>
        <w:pStyle w:val="11"/>
        <w:tabs>
          <w:tab w:val="right" w:leader="dot" w:pos="8504"/>
          <w:tab w:val="clear" w:pos="567"/>
          <w:tab w:val="clear" w:pos="709"/>
          <w:tab w:val="clear" w:pos="8505"/>
        </w:tabs>
        <w:spacing w:after="0" w:line="288" w:lineRule="auto"/>
        <w:rPr>
          <w:rFonts w:hint="eastAsia" w:ascii="仿宋" w:hAnsi="仿宋" w:eastAsia="仿宋" w:cs="仿宋"/>
          <w:kern w:val="0"/>
          <w:szCs w:val="32"/>
        </w:rPr>
        <w:sectPr>
          <w:footerReference r:id="rId7" w:type="default"/>
          <w:pgSz w:w="11906" w:h="16838"/>
          <w:pgMar w:top="1440" w:right="1701" w:bottom="1440" w:left="1701" w:header="851" w:footer="992" w:gutter="0"/>
          <w:pgNumType w:fmt="upperRoman" w:start="1"/>
          <w:cols w:space="720" w:num="1"/>
          <w:docGrid w:type="linesAndChars" w:linePitch="380" w:charSpace="0"/>
        </w:sectPr>
      </w:pPr>
      <w:r>
        <w:rPr>
          <w:rFonts w:hint="eastAsia" w:ascii="仿宋" w:hAnsi="仿宋" w:eastAsia="仿宋" w:cs="仿宋"/>
          <w:szCs w:val="21"/>
        </w:rPr>
        <w:fldChar w:fldCharType="end"/>
      </w:r>
    </w:p>
    <w:p w14:paraId="017EEFB9">
      <w:pPr>
        <w:pStyle w:val="19"/>
        <w:numPr>
          <w:ilvl w:val="0"/>
          <w:numId w:val="3"/>
        </w:numPr>
        <w:spacing w:before="0" w:after="0" w:line="400" w:lineRule="exact"/>
        <w:ind w:left="0" w:firstLine="0"/>
        <w:rPr>
          <w:rFonts w:hint="eastAsia" w:ascii="仿宋" w:hAnsi="仿宋" w:eastAsia="仿宋" w:cs="仿宋"/>
          <w:b/>
          <w:bCs w:val="0"/>
          <w:kern w:val="0"/>
          <w:sz w:val="32"/>
          <w:szCs w:val="32"/>
        </w:rPr>
      </w:pPr>
      <w:bookmarkStart w:id="0" w:name="_Toc17925"/>
      <w:r>
        <w:rPr>
          <w:rFonts w:hint="eastAsia" w:ascii="仿宋" w:hAnsi="仿宋" w:eastAsia="仿宋" w:cs="仿宋"/>
          <w:b/>
          <w:bCs w:val="0"/>
          <w:kern w:val="0"/>
          <w:sz w:val="32"/>
          <w:szCs w:val="32"/>
        </w:rPr>
        <w:t>招标公告</w:t>
      </w:r>
      <w:bookmarkEnd w:id="0"/>
    </w:p>
    <w:p w14:paraId="7DBF47B2">
      <w:pPr>
        <w:spacing w:after="0"/>
        <w:rPr>
          <w:rFonts w:hint="eastAsia" w:ascii="仿宋" w:hAnsi="仿宋" w:eastAsia="仿宋" w:cs="仿宋"/>
        </w:rPr>
      </w:pPr>
    </w:p>
    <w:p w14:paraId="2E2E8069">
      <w:pPr>
        <w:pBdr>
          <w:top w:val="single" w:color="auto" w:sz="4" w:space="1"/>
          <w:left w:val="single" w:color="auto" w:sz="4" w:space="4"/>
          <w:bottom w:val="single" w:color="auto" w:sz="4" w:space="1"/>
          <w:right w:val="single" w:color="auto" w:sz="4" w:space="4"/>
        </w:pBdr>
        <w:spacing w:after="0" w:line="360" w:lineRule="auto"/>
        <w:rPr>
          <w:rFonts w:hint="eastAsia" w:ascii="仿宋" w:hAnsi="仿宋" w:eastAsia="仿宋" w:cs="仿宋"/>
          <w:szCs w:val="21"/>
        </w:rPr>
      </w:pPr>
      <w:r>
        <w:rPr>
          <w:rFonts w:hint="eastAsia" w:ascii="仿宋" w:hAnsi="仿宋" w:eastAsia="仿宋" w:cs="仿宋"/>
          <w:szCs w:val="21"/>
        </w:rPr>
        <w:t>项目概况：</w:t>
      </w:r>
    </w:p>
    <w:p w14:paraId="49010E31">
      <w:pPr>
        <w:pBdr>
          <w:top w:val="single" w:color="auto" w:sz="4" w:space="1"/>
          <w:left w:val="single" w:color="auto" w:sz="4" w:space="4"/>
          <w:bottom w:val="single" w:color="auto" w:sz="4" w:space="1"/>
          <w:right w:val="single" w:color="auto" w:sz="4" w:space="4"/>
        </w:pBdr>
        <w:spacing w:after="0" w:line="360" w:lineRule="auto"/>
        <w:ind w:firstLine="420" w:firstLineChars="200"/>
        <w:rPr>
          <w:rFonts w:hint="eastAsia" w:ascii="仿宋" w:hAnsi="仿宋" w:eastAsia="仿宋" w:cs="仿宋"/>
          <w:szCs w:val="21"/>
        </w:rPr>
      </w:pPr>
      <w:r>
        <w:rPr>
          <w:rFonts w:hint="eastAsia" w:ascii="仿宋" w:hAnsi="仿宋" w:eastAsia="仿宋" w:cs="仿宋"/>
          <w:szCs w:val="21"/>
          <w:u w:val="single"/>
          <w:lang w:eastAsia="zh-CN"/>
        </w:rPr>
        <w:t>巴青县生物多样性调查项目</w:t>
      </w:r>
      <w:r>
        <w:rPr>
          <w:rFonts w:hint="eastAsia" w:ascii="仿宋" w:hAnsi="仿宋" w:eastAsia="仿宋" w:cs="仿宋"/>
          <w:szCs w:val="21"/>
        </w:rPr>
        <w:t>招标项目的潜在投标人应在</w:t>
      </w:r>
      <w:r>
        <w:rPr>
          <w:rFonts w:hint="eastAsia" w:ascii="仿宋" w:hAnsi="仿宋" w:eastAsia="仿宋" w:cs="仿宋"/>
          <w:szCs w:val="21"/>
          <w:u w:val="single"/>
        </w:rPr>
        <w:t>西藏自治区公共资源交易平台（http://ggzy.xizang.gov.cn/）</w:t>
      </w:r>
      <w:r>
        <w:rPr>
          <w:rFonts w:hint="eastAsia" w:ascii="仿宋" w:hAnsi="仿宋" w:eastAsia="仿宋" w:cs="仿宋"/>
          <w:szCs w:val="21"/>
        </w:rPr>
        <w:t>获取招标文件，并于</w:t>
      </w:r>
      <w:r>
        <w:rPr>
          <w:rFonts w:hint="eastAsia" w:ascii="仿宋" w:hAnsi="仿宋" w:eastAsia="仿宋" w:cs="仿宋"/>
          <w:szCs w:val="21"/>
          <w:u w:val="single"/>
        </w:rPr>
        <w:t>202</w:t>
      </w:r>
      <w:r>
        <w:rPr>
          <w:rFonts w:hint="eastAsia" w:ascii="仿宋" w:hAnsi="仿宋" w:eastAsia="仿宋" w:cs="仿宋"/>
          <w:szCs w:val="21"/>
          <w:u w:val="single"/>
          <w:lang w:val="en-US" w:eastAsia="zh-CN"/>
        </w:rPr>
        <w:t>6</w:t>
      </w:r>
      <w:r>
        <w:rPr>
          <w:rFonts w:hint="eastAsia" w:ascii="仿宋" w:hAnsi="仿宋" w:eastAsia="仿宋" w:cs="仿宋"/>
          <w:szCs w:val="21"/>
          <w:u w:val="single"/>
        </w:rPr>
        <w:t>年</w:t>
      </w:r>
      <w:r>
        <w:rPr>
          <w:rFonts w:hint="eastAsia" w:ascii="仿宋" w:hAnsi="仿宋" w:eastAsia="仿宋" w:cs="仿宋"/>
          <w:szCs w:val="21"/>
          <w:u w:val="single"/>
          <w:lang w:val="en-US" w:eastAsia="zh-CN"/>
        </w:rPr>
        <w:t>5</w:t>
      </w:r>
      <w:r>
        <w:rPr>
          <w:rFonts w:hint="eastAsia" w:ascii="仿宋" w:hAnsi="仿宋" w:eastAsia="仿宋" w:cs="仿宋"/>
          <w:szCs w:val="21"/>
          <w:u w:val="single"/>
        </w:rPr>
        <w:t>月</w:t>
      </w:r>
      <w:r>
        <w:rPr>
          <w:rFonts w:hint="eastAsia" w:ascii="仿宋" w:hAnsi="仿宋" w:eastAsia="仿宋" w:cs="仿宋"/>
          <w:szCs w:val="21"/>
          <w:u w:val="single"/>
          <w:lang w:val="en-US" w:eastAsia="zh-CN"/>
        </w:rPr>
        <w:t xml:space="preserve">29 </w:t>
      </w:r>
      <w:r>
        <w:rPr>
          <w:rFonts w:hint="eastAsia" w:ascii="仿宋" w:hAnsi="仿宋" w:eastAsia="仿宋" w:cs="仿宋"/>
          <w:szCs w:val="21"/>
          <w:u w:val="single"/>
        </w:rPr>
        <w:t>日</w:t>
      </w:r>
      <w:r>
        <w:rPr>
          <w:rFonts w:hint="eastAsia" w:ascii="仿宋" w:hAnsi="仿宋" w:eastAsia="仿宋" w:cs="仿宋"/>
          <w:szCs w:val="21"/>
          <w:u w:val="single"/>
          <w:lang w:val="en-US" w:eastAsia="zh-CN"/>
        </w:rPr>
        <w:t xml:space="preserve"> 10 </w:t>
      </w:r>
      <w:r>
        <w:rPr>
          <w:rFonts w:hint="eastAsia" w:ascii="仿宋" w:hAnsi="仿宋" w:eastAsia="仿宋" w:cs="仿宋"/>
          <w:bCs/>
          <w:szCs w:val="21"/>
          <w:u w:val="single"/>
        </w:rPr>
        <w:t>时</w:t>
      </w:r>
      <w:r>
        <w:rPr>
          <w:rFonts w:hint="eastAsia" w:ascii="仿宋" w:hAnsi="仿宋" w:eastAsia="仿宋" w:cs="仿宋"/>
          <w:bCs/>
          <w:szCs w:val="21"/>
          <w:u w:val="single"/>
          <w:lang w:val="en-US" w:eastAsia="zh-CN"/>
        </w:rPr>
        <w:t>00</w:t>
      </w:r>
      <w:r>
        <w:rPr>
          <w:rFonts w:hint="eastAsia" w:ascii="仿宋" w:hAnsi="仿宋" w:eastAsia="仿宋" w:cs="仿宋"/>
          <w:szCs w:val="21"/>
          <w:u w:val="single"/>
          <w:lang w:val="en-US" w:eastAsia="zh-CN"/>
        </w:rPr>
        <w:t xml:space="preserve"> </w:t>
      </w:r>
      <w:r>
        <w:rPr>
          <w:rFonts w:hint="eastAsia" w:ascii="仿宋" w:hAnsi="仿宋" w:eastAsia="仿宋" w:cs="仿宋"/>
          <w:bCs/>
          <w:szCs w:val="21"/>
          <w:u w:val="single"/>
        </w:rPr>
        <w:t>分（</w:t>
      </w:r>
      <w:r>
        <w:rPr>
          <w:rFonts w:hint="eastAsia" w:ascii="仿宋" w:hAnsi="仿宋" w:eastAsia="仿宋" w:cs="仿宋"/>
          <w:bCs/>
          <w:szCs w:val="21"/>
        </w:rPr>
        <w:t>北京时间）前递交投标文件</w:t>
      </w:r>
      <w:r>
        <w:rPr>
          <w:rFonts w:hint="eastAsia" w:ascii="仿宋" w:hAnsi="仿宋" w:eastAsia="仿宋" w:cs="仿宋"/>
          <w:szCs w:val="21"/>
        </w:rPr>
        <w:t>。</w:t>
      </w:r>
    </w:p>
    <w:p w14:paraId="488A43AB">
      <w:pPr>
        <w:spacing w:after="0" w:line="360" w:lineRule="auto"/>
        <w:rPr>
          <w:rFonts w:hint="eastAsia" w:ascii="仿宋" w:hAnsi="仿宋" w:eastAsia="仿宋" w:cs="仿宋"/>
        </w:rPr>
      </w:pPr>
      <w:bookmarkStart w:id="1" w:name="_Toc35393621"/>
      <w:bookmarkStart w:id="2" w:name="_Toc35393790"/>
      <w:bookmarkStart w:id="3" w:name="_Toc28359002"/>
      <w:bookmarkStart w:id="4" w:name="_Toc28359079"/>
      <w:bookmarkStart w:id="5" w:name="_Hlk24379207"/>
    </w:p>
    <w:p w14:paraId="7B52D71A">
      <w:pPr>
        <w:pStyle w:val="3"/>
        <w:spacing w:before="0" w:after="0" w:line="360" w:lineRule="auto"/>
        <w:rPr>
          <w:rFonts w:hint="eastAsia" w:ascii="仿宋" w:hAnsi="仿宋" w:eastAsia="仿宋" w:cs="仿宋"/>
          <w:b w:val="0"/>
          <w:sz w:val="21"/>
          <w:szCs w:val="21"/>
        </w:rPr>
      </w:pPr>
      <w:bookmarkStart w:id="6" w:name="_Toc25121"/>
      <w:bookmarkStart w:id="7" w:name="_Toc19349"/>
      <w:r>
        <w:rPr>
          <w:rFonts w:hint="eastAsia" w:ascii="仿宋" w:hAnsi="仿宋" w:eastAsia="仿宋" w:cs="仿宋"/>
          <w:b w:val="0"/>
          <w:sz w:val="21"/>
          <w:szCs w:val="21"/>
        </w:rPr>
        <w:t>一、项目基本情况</w:t>
      </w:r>
      <w:bookmarkEnd w:id="1"/>
      <w:bookmarkEnd w:id="2"/>
      <w:bookmarkEnd w:id="3"/>
      <w:bookmarkEnd w:id="4"/>
      <w:bookmarkEnd w:id="6"/>
      <w:bookmarkEnd w:id="7"/>
    </w:p>
    <w:p w14:paraId="3412F46F">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项目编号：GZFCG2026-33155</w:t>
      </w:r>
    </w:p>
    <w:p w14:paraId="5638270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项目名称：</w:t>
      </w:r>
      <w:bookmarkEnd w:id="5"/>
      <w:r>
        <w:rPr>
          <w:rFonts w:hint="eastAsia" w:ascii="仿宋" w:hAnsi="仿宋" w:eastAsia="仿宋" w:cs="仿宋"/>
          <w:szCs w:val="21"/>
          <w:lang w:eastAsia="zh-CN"/>
        </w:rPr>
        <w:t>巴青县生物多样性调查项目</w:t>
      </w:r>
    </w:p>
    <w:p w14:paraId="433F3108">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标段划分：本项目不划分标段</w:t>
      </w:r>
    </w:p>
    <w:p w14:paraId="6A48DDCA">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预算金额：本项目预算金额为</w:t>
      </w:r>
      <w:r>
        <w:rPr>
          <w:rFonts w:hint="eastAsia" w:ascii="仿宋" w:hAnsi="仿宋" w:eastAsia="仿宋" w:cs="仿宋"/>
          <w:szCs w:val="21"/>
          <w:lang w:val="en-US" w:eastAsia="zh-CN"/>
        </w:rPr>
        <w:t>310.00</w:t>
      </w:r>
      <w:r>
        <w:rPr>
          <w:rFonts w:hint="eastAsia" w:ascii="仿宋" w:hAnsi="仿宋" w:eastAsia="仿宋" w:cs="仿宋"/>
          <w:szCs w:val="21"/>
        </w:rPr>
        <w:t>万元</w:t>
      </w:r>
    </w:p>
    <w:p w14:paraId="08717F14">
      <w:pPr>
        <w:spacing w:after="0" w:line="360" w:lineRule="auto"/>
        <w:ind w:firstLine="420" w:firstLineChars="200"/>
        <w:rPr>
          <w:rFonts w:hint="eastAsia" w:ascii="仿宋" w:hAnsi="仿宋" w:eastAsia="仿宋" w:cs="仿宋"/>
          <w:bCs/>
          <w:szCs w:val="21"/>
        </w:rPr>
      </w:pPr>
      <w:r>
        <w:rPr>
          <w:rFonts w:hint="eastAsia" w:ascii="仿宋" w:hAnsi="仿宋" w:eastAsia="仿宋" w:cs="仿宋"/>
          <w:bCs/>
          <w:szCs w:val="21"/>
        </w:rPr>
        <w:t>最高限价：最高限价</w:t>
      </w:r>
      <w:r>
        <w:rPr>
          <w:rFonts w:hint="eastAsia" w:ascii="仿宋" w:hAnsi="仿宋" w:eastAsia="仿宋" w:cs="仿宋"/>
          <w:szCs w:val="21"/>
          <w:lang w:val="en-US" w:eastAsia="zh-CN"/>
        </w:rPr>
        <w:t>310.00</w:t>
      </w:r>
      <w:r>
        <w:rPr>
          <w:rFonts w:hint="eastAsia" w:ascii="仿宋" w:hAnsi="仿宋" w:eastAsia="仿宋" w:cs="仿宋"/>
          <w:bCs/>
          <w:szCs w:val="21"/>
        </w:rPr>
        <w:t>万元</w:t>
      </w:r>
    </w:p>
    <w:p w14:paraId="0524DCF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采购内容：</w:t>
      </w:r>
      <w:r>
        <w:rPr>
          <w:rFonts w:hint="eastAsia" w:ascii="仿宋" w:hAnsi="仿宋" w:eastAsia="仿宋" w:cs="仿宋"/>
          <w:szCs w:val="21"/>
          <w:lang w:eastAsia="zh-CN"/>
        </w:rPr>
        <w:t>巴青县生物多样性调查</w:t>
      </w:r>
      <w:r>
        <w:rPr>
          <w:rFonts w:hint="eastAsia" w:ascii="仿宋" w:hAnsi="仿宋" w:eastAsia="仿宋" w:cs="仿宋"/>
          <w:szCs w:val="21"/>
        </w:rPr>
        <w:t>，具体采购内容详见招标文件。</w:t>
      </w:r>
    </w:p>
    <w:p w14:paraId="723C9F47">
      <w:pPr>
        <w:spacing w:after="0" w:line="360" w:lineRule="auto"/>
        <w:ind w:firstLine="420" w:firstLineChars="200"/>
        <w:rPr>
          <w:rFonts w:hint="eastAsia" w:ascii="仿宋" w:hAnsi="仿宋" w:eastAsia="仿宋" w:cs="仿宋"/>
          <w:szCs w:val="21"/>
          <w:lang w:val="en-US" w:eastAsia="zh-CN"/>
        </w:rPr>
      </w:pPr>
      <w:r>
        <w:rPr>
          <w:rFonts w:hint="eastAsia" w:ascii="仿宋" w:hAnsi="仿宋" w:eastAsia="仿宋" w:cs="仿宋"/>
          <w:szCs w:val="21"/>
        </w:rPr>
        <w:t>合同履行地点：西藏自治区那曲市</w:t>
      </w:r>
      <w:r>
        <w:rPr>
          <w:rFonts w:hint="eastAsia" w:ascii="仿宋" w:hAnsi="仿宋" w:eastAsia="仿宋" w:cs="仿宋"/>
          <w:szCs w:val="21"/>
          <w:lang w:val="en-US" w:eastAsia="zh-CN"/>
        </w:rPr>
        <w:t>巴青县</w:t>
      </w:r>
    </w:p>
    <w:p w14:paraId="1AB75A8F">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合同履行期限：</w:t>
      </w:r>
      <w:r>
        <w:rPr>
          <w:rFonts w:hint="eastAsia" w:ascii="仿宋" w:hAnsi="仿宋" w:eastAsia="仿宋" w:cs="仿宋"/>
          <w:szCs w:val="21"/>
          <w:lang w:val="en-US" w:eastAsia="zh-CN"/>
        </w:rPr>
        <w:t>具体以签订合同为准</w:t>
      </w:r>
      <w:r>
        <w:rPr>
          <w:rFonts w:hint="eastAsia" w:ascii="仿宋" w:hAnsi="仿宋" w:eastAsia="仿宋" w:cs="仿宋"/>
          <w:szCs w:val="21"/>
        </w:rPr>
        <w:t>。</w:t>
      </w:r>
    </w:p>
    <w:p w14:paraId="0879E41D">
      <w:pPr>
        <w:pStyle w:val="3"/>
        <w:spacing w:before="0" w:after="0" w:line="360" w:lineRule="auto"/>
        <w:rPr>
          <w:rFonts w:hint="eastAsia" w:ascii="仿宋" w:hAnsi="仿宋" w:eastAsia="仿宋" w:cs="仿宋"/>
          <w:b w:val="0"/>
          <w:sz w:val="21"/>
          <w:szCs w:val="21"/>
        </w:rPr>
      </w:pPr>
      <w:bookmarkStart w:id="8" w:name="_Toc3089"/>
      <w:bookmarkStart w:id="9" w:name="_Toc28359003"/>
      <w:bookmarkStart w:id="10" w:name="_Toc24346"/>
      <w:bookmarkStart w:id="11" w:name="_Toc28359080"/>
      <w:bookmarkStart w:id="12" w:name="_Toc35393791"/>
      <w:bookmarkStart w:id="13" w:name="_Toc35393622"/>
      <w:r>
        <w:rPr>
          <w:rFonts w:hint="eastAsia" w:ascii="仿宋" w:hAnsi="仿宋" w:eastAsia="仿宋" w:cs="仿宋"/>
          <w:b w:val="0"/>
          <w:sz w:val="21"/>
          <w:szCs w:val="21"/>
        </w:rPr>
        <w:t>二、申请人的资格要求</w:t>
      </w:r>
      <w:bookmarkEnd w:id="8"/>
      <w:bookmarkEnd w:id="9"/>
      <w:bookmarkEnd w:id="10"/>
      <w:bookmarkEnd w:id="11"/>
      <w:bookmarkEnd w:id="12"/>
      <w:bookmarkEnd w:id="13"/>
    </w:p>
    <w:p w14:paraId="4730DED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1.符合政府采购法第二十二条：</w:t>
      </w:r>
    </w:p>
    <w:p w14:paraId="38E0A6D5">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（一）具有独立承担民事责任的能力；</w:t>
      </w:r>
    </w:p>
    <w:p w14:paraId="1D6D07FB">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（二）具有良好的商业信誉和健全的财务会计制度；</w:t>
      </w:r>
    </w:p>
    <w:p w14:paraId="7AD7F069">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（三）具有履行合同所必需的设备和专业技术能力；</w:t>
      </w:r>
    </w:p>
    <w:p w14:paraId="492EF03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（四）有依法缴纳税收和社会保障资金的良好记录；</w:t>
      </w:r>
    </w:p>
    <w:p w14:paraId="28C35D5B">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（五）参加政府采购活动前三年内，在经营活动中没有重大违法记录；</w:t>
      </w:r>
    </w:p>
    <w:p w14:paraId="69E135F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（六）法律、行政法规规定的其他条件。</w:t>
      </w:r>
    </w:p>
    <w:p w14:paraId="7FDF15C5">
      <w:pPr>
        <w:spacing w:after="0" w:line="360" w:lineRule="auto"/>
        <w:ind w:firstLine="420" w:firstLineChars="200"/>
        <w:rPr>
          <w:rFonts w:hint="eastAsia" w:ascii="仿宋" w:hAnsi="仿宋" w:eastAsia="仿宋" w:cs="仿宋"/>
          <w:szCs w:val="21"/>
        </w:rPr>
      </w:pPr>
      <w:bookmarkStart w:id="14" w:name="_Toc28359004"/>
      <w:bookmarkStart w:id="15" w:name="_Toc28359081"/>
      <w:r>
        <w:rPr>
          <w:rFonts w:hint="eastAsia" w:ascii="仿宋" w:hAnsi="仿宋" w:eastAsia="仿宋" w:cs="仿宋"/>
          <w:szCs w:val="21"/>
        </w:rPr>
        <w:t>2.采购项目需落实的政府采购政策：</w:t>
      </w:r>
    </w:p>
    <w:p w14:paraId="2C5321C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（1）按照&lt;财政部 工业和信息化部关于印发《政府采购促进中小企业发展管理办法》的通知&gt;（财库[2020]46号）及《关于进一步加大政府采购支持中小企业力度的通知》（财库〔2022〕19号）的规定，落实促进中小企业发展政策。</w:t>
      </w:r>
    </w:p>
    <w:p w14:paraId="0C428DE8">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（2）按照&lt;财政部、司法部关于政府采购支持监狱企业发展有关问题的通知&gt;（财库〔2014〕68号）的规定，落实支持监狱企业发展政策。</w:t>
      </w:r>
    </w:p>
    <w:p w14:paraId="704AB7DF">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（3）按照《三部门联合发布关于促进残疾人就业政府采购政策的通知》（财库〔2017〕 141号）的规定，落实支持残疾人福利性单位发展政策。</w:t>
      </w:r>
    </w:p>
    <w:p w14:paraId="7D7CE7DC">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3.202</w:t>
      </w:r>
      <w:r>
        <w:rPr>
          <w:rFonts w:hint="eastAsia" w:ascii="仿宋" w:hAnsi="仿宋" w:eastAsia="仿宋" w:cs="仿宋"/>
          <w:szCs w:val="21"/>
          <w:lang w:val="en-US" w:eastAsia="zh-CN"/>
        </w:rPr>
        <w:t>3</w:t>
      </w:r>
      <w:r>
        <w:rPr>
          <w:rFonts w:hint="eastAsia" w:ascii="仿宋" w:hAnsi="仿宋" w:eastAsia="仿宋" w:cs="仿宋"/>
          <w:szCs w:val="21"/>
        </w:rPr>
        <w:t>年</w:t>
      </w:r>
      <w:r>
        <w:rPr>
          <w:rFonts w:hint="eastAsia" w:ascii="仿宋" w:hAnsi="仿宋" w:eastAsia="仿宋" w:cs="仿宋"/>
          <w:szCs w:val="21"/>
          <w:lang w:val="en-US" w:eastAsia="zh-CN"/>
        </w:rPr>
        <w:t>04</w:t>
      </w:r>
      <w:r>
        <w:rPr>
          <w:rFonts w:hint="eastAsia" w:ascii="仿宋" w:hAnsi="仿宋" w:eastAsia="仿宋" w:cs="仿宋"/>
          <w:szCs w:val="21"/>
        </w:rPr>
        <w:t>月至今，未被列入“信用中国”（http://www.creditchina.gov.cn/）的①“失信被执行人”、②“重大税收违法失信主体”，③中国政府采购网（www.ccgp.gov.cn）的“政府采购严重违法失信行为记录名单”。</w:t>
      </w:r>
    </w:p>
    <w:p w14:paraId="3AD78ED8">
      <w:pPr>
        <w:numPr>
          <w:ilvl w:val="0"/>
          <w:numId w:val="4"/>
        </w:num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本次招标</w:t>
      </w:r>
      <w:r>
        <w:rPr>
          <w:rFonts w:hint="eastAsia" w:ascii="仿宋" w:hAnsi="仿宋" w:eastAsia="仿宋" w:cs="仿宋"/>
          <w:szCs w:val="21"/>
          <w:lang w:val="en-US" w:eastAsia="zh-CN"/>
        </w:rPr>
        <w:t>是否接受</w:t>
      </w:r>
      <w:r>
        <w:rPr>
          <w:rFonts w:hint="eastAsia" w:ascii="仿宋" w:hAnsi="仿宋" w:eastAsia="仿宋" w:cs="仿宋"/>
          <w:szCs w:val="21"/>
        </w:rPr>
        <w:t>联合体投标：</w:t>
      </w:r>
      <w:r>
        <w:rPr>
          <w:rFonts w:hint="eastAsia" w:ascii="仿宋" w:hAnsi="仿宋" w:eastAsia="仿宋" w:cs="仿宋"/>
          <w:szCs w:val="21"/>
          <w:lang w:val="en-US" w:eastAsia="zh-CN"/>
        </w:rPr>
        <w:t>否</w:t>
      </w:r>
    </w:p>
    <w:p w14:paraId="62F4E299">
      <w:pPr>
        <w:numPr>
          <w:ilvl w:val="0"/>
          <w:numId w:val="4"/>
        </w:num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本项目特定资格条件：</w:t>
      </w:r>
      <w:r>
        <w:rPr>
          <w:rFonts w:hint="eastAsia" w:ascii="仿宋" w:hAnsi="仿宋" w:eastAsia="仿宋" w:cs="仿宋"/>
          <w:szCs w:val="21"/>
          <w:lang w:val="en-US" w:eastAsia="zh-CN"/>
        </w:rPr>
        <w:t>无。</w:t>
      </w:r>
    </w:p>
    <w:p w14:paraId="67A5E0E5">
      <w:pPr>
        <w:pStyle w:val="3"/>
        <w:spacing w:before="0" w:after="0" w:line="360" w:lineRule="auto"/>
        <w:rPr>
          <w:rFonts w:hint="eastAsia" w:ascii="仿宋" w:hAnsi="仿宋" w:eastAsia="仿宋" w:cs="仿宋"/>
          <w:b w:val="0"/>
          <w:sz w:val="21"/>
          <w:szCs w:val="21"/>
          <w:u w:val="single"/>
        </w:rPr>
      </w:pPr>
      <w:bookmarkStart w:id="16" w:name="_Toc35393623"/>
      <w:bookmarkStart w:id="17" w:name="_Toc35393792"/>
      <w:bookmarkStart w:id="18" w:name="_Toc15779"/>
      <w:bookmarkStart w:id="19" w:name="_Toc14507"/>
      <w:r>
        <w:rPr>
          <w:rFonts w:hint="eastAsia" w:ascii="仿宋" w:hAnsi="仿宋" w:eastAsia="仿宋" w:cs="仿宋"/>
          <w:b w:val="0"/>
          <w:sz w:val="21"/>
          <w:szCs w:val="21"/>
        </w:rPr>
        <w:t>三、获取招标文件</w:t>
      </w:r>
      <w:bookmarkEnd w:id="14"/>
      <w:bookmarkEnd w:id="15"/>
      <w:bookmarkEnd w:id="16"/>
      <w:bookmarkEnd w:id="17"/>
      <w:bookmarkEnd w:id="18"/>
      <w:bookmarkEnd w:id="19"/>
    </w:p>
    <w:p w14:paraId="61B19ECF">
      <w:pPr>
        <w:spacing w:after="0" w:line="360" w:lineRule="auto"/>
        <w:ind w:firstLine="540"/>
        <w:rPr>
          <w:rFonts w:hint="eastAsia" w:ascii="仿宋" w:hAnsi="仿宋" w:eastAsia="仿宋" w:cs="仿宋"/>
          <w:szCs w:val="21"/>
        </w:rPr>
      </w:pPr>
      <w:r>
        <w:rPr>
          <w:rFonts w:hint="eastAsia" w:ascii="仿宋" w:hAnsi="仿宋" w:eastAsia="仿宋" w:cs="仿宋"/>
          <w:szCs w:val="21"/>
        </w:rPr>
        <w:t>时间：</w:t>
      </w:r>
      <w:r>
        <w:rPr>
          <w:rFonts w:hint="eastAsia" w:ascii="仿宋" w:hAnsi="仿宋" w:eastAsia="仿宋" w:cs="仿宋"/>
          <w:szCs w:val="21"/>
          <w:u w:val="single"/>
        </w:rPr>
        <w:t>202</w:t>
      </w:r>
      <w:r>
        <w:rPr>
          <w:rFonts w:hint="eastAsia" w:ascii="仿宋" w:hAnsi="仿宋" w:eastAsia="仿宋" w:cs="仿宋"/>
          <w:szCs w:val="21"/>
          <w:u w:val="single"/>
          <w:lang w:val="en-US" w:eastAsia="zh-CN"/>
        </w:rPr>
        <w:t>6</w:t>
      </w:r>
      <w:r>
        <w:rPr>
          <w:rFonts w:hint="eastAsia" w:ascii="仿宋" w:hAnsi="仿宋" w:eastAsia="仿宋" w:cs="仿宋"/>
          <w:szCs w:val="21"/>
          <w:u w:val="single"/>
        </w:rPr>
        <w:t>年</w:t>
      </w:r>
      <w:r>
        <w:rPr>
          <w:rFonts w:hint="eastAsia" w:ascii="仿宋" w:hAnsi="仿宋" w:eastAsia="仿宋" w:cs="仿宋"/>
          <w:szCs w:val="21"/>
          <w:u w:val="single"/>
          <w:lang w:val="en-US" w:eastAsia="zh-CN"/>
        </w:rPr>
        <w:t xml:space="preserve">5 </w:t>
      </w:r>
      <w:r>
        <w:rPr>
          <w:rFonts w:hint="eastAsia" w:ascii="仿宋" w:hAnsi="仿宋" w:eastAsia="仿宋" w:cs="仿宋"/>
          <w:szCs w:val="21"/>
          <w:u w:val="single"/>
        </w:rPr>
        <w:t>月</w:t>
      </w:r>
      <w:r>
        <w:rPr>
          <w:rFonts w:hint="eastAsia" w:ascii="仿宋" w:hAnsi="仿宋" w:eastAsia="仿宋" w:cs="仿宋"/>
          <w:szCs w:val="21"/>
          <w:u w:val="single"/>
          <w:lang w:val="en-US" w:eastAsia="zh-CN"/>
        </w:rPr>
        <w:t xml:space="preserve">9 </w:t>
      </w:r>
      <w:r>
        <w:rPr>
          <w:rFonts w:hint="eastAsia" w:ascii="仿宋" w:hAnsi="仿宋" w:eastAsia="仿宋" w:cs="仿宋"/>
          <w:szCs w:val="21"/>
          <w:u w:val="single"/>
        </w:rPr>
        <w:t>日</w:t>
      </w:r>
      <w:r>
        <w:rPr>
          <w:rFonts w:hint="eastAsia" w:ascii="仿宋" w:hAnsi="仿宋" w:eastAsia="仿宋" w:cs="仿宋"/>
          <w:szCs w:val="21"/>
          <w:u w:val="single"/>
          <w:lang w:val="en-US" w:eastAsia="zh-CN"/>
        </w:rPr>
        <w:t>00</w:t>
      </w:r>
      <w:r>
        <w:rPr>
          <w:rFonts w:hint="eastAsia" w:ascii="仿宋" w:hAnsi="仿宋" w:eastAsia="仿宋" w:cs="仿宋"/>
          <w:szCs w:val="21"/>
          <w:u w:val="single"/>
        </w:rPr>
        <w:t>时</w:t>
      </w:r>
      <w:r>
        <w:rPr>
          <w:rFonts w:hint="eastAsia" w:ascii="仿宋" w:hAnsi="仿宋" w:eastAsia="仿宋" w:cs="仿宋"/>
          <w:szCs w:val="21"/>
          <w:u w:val="single"/>
          <w:lang w:val="en-US" w:eastAsia="zh-CN"/>
        </w:rPr>
        <w:t>00</w:t>
      </w:r>
      <w:r>
        <w:rPr>
          <w:rFonts w:hint="eastAsia" w:ascii="仿宋" w:hAnsi="仿宋" w:eastAsia="仿宋" w:cs="仿宋"/>
          <w:szCs w:val="21"/>
          <w:u w:val="single"/>
        </w:rPr>
        <w:t>分</w:t>
      </w:r>
      <w:r>
        <w:rPr>
          <w:rFonts w:hint="eastAsia" w:ascii="仿宋" w:hAnsi="仿宋" w:eastAsia="仿宋" w:cs="仿宋"/>
          <w:szCs w:val="21"/>
        </w:rPr>
        <w:t>至</w:t>
      </w:r>
      <w:r>
        <w:rPr>
          <w:rFonts w:hint="eastAsia" w:ascii="仿宋" w:hAnsi="仿宋" w:eastAsia="仿宋" w:cs="仿宋"/>
          <w:szCs w:val="21"/>
          <w:u w:val="single"/>
        </w:rPr>
        <w:t>202</w:t>
      </w:r>
      <w:r>
        <w:rPr>
          <w:rFonts w:hint="eastAsia" w:ascii="仿宋" w:hAnsi="仿宋" w:eastAsia="仿宋" w:cs="仿宋"/>
          <w:szCs w:val="21"/>
          <w:u w:val="single"/>
          <w:lang w:val="en-US" w:eastAsia="zh-CN"/>
        </w:rPr>
        <w:t>6</w:t>
      </w:r>
      <w:r>
        <w:rPr>
          <w:rFonts w:hint="eastAsia" w:ascii="仿宋" w:hAnsi="仿宋" w:eastAsia="仿宋" w:cs="仿宋"/>
          <w:szCs w:val="21"/>
          <w:u w:val="single"/>
        </w:rPr>
        <w:t>年</w:t>
      </w:r>
      <w:r>
        <w:rPr>
          <w:rFonts w:hint="eastAsia" w:ascii="仿宋" w:hAnsi="仿宋" w:eastAsia="仿宋" w:cs="仿宋"/>
          <w:szCs w:val="21"/>
          <w:u w:val="single"/>
          <w:lang w:val="en-US" w:eastAsia="zh-CN"/>
        </w:rPr>
        <w:t xml:space="preserve">5 </w:t>
      </w:r>
      <w:r>
        <w:rPr>
          <w:rFonts w:hint="eastAsia" w:ascii="仿宋" w:hAnsi="仿宋" w:eastAsia="仿宋" w:cs="仿宋"/>
          <w:szCs w:val="21"/>
          <w:u w:val="single"/>
        </w:rPr>
        <w:t>月</w:t>
      </w:r>
      <w:r>
        <w:rPr>
          <w:rFonts w:hint="eastAsia" w:ascii="仿宋" w:hAnsi="仿宋" w:eastAsia="仿宋" w:cs="仿宋"/>
          <w:szCs w:val="21"/>
          <w:u w:val="single"/>
          <w:lang w:val="en-US" w:eastAsia="zh-CN"/>
        </w:rPr>
        <w:t>16</w:t>
      </w:r>
      <w:r>
        <w:rPr>
          <w:rFonts w:hint="eastAsia" w:ascii="仿宋" w:hAnsi="仿宋" w:eastAsia="仿宋" w:cs="仿宋"/>
          <w:szCs w:val="21"/>
          <w:u w:val="single"/>
        </w:rPr>
        <w:t>日</w:t>
      </w:r>
      <w:r>
        <w:rPr>
          <w:rFonts w:hint="eastAsia" w:ascii="仿宋" w:hAnsi="仿宋" w:eastAsia="仿宋" w:cs="仿宋"/>
          <w:szCs w:val="21"/>
          <w:u w:val="single"/>
          <w:lang w:val="en-US" w:eastAsia="zh-CN"/>
        </w:rPr>
        <w:t>00</w:t>
      </w:r>
      <w:r>
        <w:rPr>
          <w:rFonts w:hint="eastAsia" w:ascii="仿宋" w:hAnsi="仿宋" w:eastAsia="仿宋" w:cs="仿宋"/>
          <w:szCs w:val="21"/>
          <w:u w:val="single"/>
        </w:rPr>
        <w:t>时</w:t>
      </w:r>
      <w:r>
        <w:rPr>
          <w:rFonts w:hint="eastAsia" w:ascii="仿宋" w:hAnsi="仿宋" w:eastAsia="仿宋" w:cs="仿宋"/>
          <w:szCs w:val="21"/>
          <w:u w:val="single"/>
          <w:lang w:val="en-US" w:eastAsia="zh-CN"/>
        </w:rPr>
        <w:t>00</w:t>
      </w:r>
      <w:r>
        <w:rPr>
          <w:rFonts w:hint="eastAsia" w:ascii="仿宋" w:hAnsi="仿宋" w:eastAsia="仿宋" w:cs="仿宋"/>
          <w:szCs w:val="21"/>
          <w:u w:val="single"/>
        </w:rPr>
        <w:t>分</w:t>
      </w:r>
      <w:r>
        <w:rPr>
          <w:rFonts w:hint="eastAsia" w:ascii="仿宋" w:hAnsi="仿宋" w:eastAsia="仿宋" w:cs="仿宋"/>
          <w:szCs w:val="21"/>
        </w:rPr>
        <w:t>（北京时间）</w:t>
      </w:r>
    </w:p>
    <w:p w14:paraId="7626616F">
      <w:pPr>
        <w:spacing w:after="0" w:line="360" w:lineRule="auto"/>
        <w:ind w:firstLine="540"/>
        <w:rPr>
          <w:rFonts w:hint="eastAsia" w:ascii="仿宋" w:hAnsi="仿宋" w:eastAsia="仿宋" w:cs="仿宋"/>
          <w:szCs w:val="21"/>
          <w:u w:val="single"/>
        </w:rPr>
      </w:pPr>
      <w:r>
        <w:rPr>
          <w:rFonts w:hint="eastAsia" w:ascii="仿宋" w:hAnsi="仿宋" w:eastAsia="仿宋" w:cs="仿宋"/>
          <w:szCs w:val="21"/>
        </w:rPr>
        <w:t>地点：西藏自治区公共资源交易平台</w:t>
      </w:r>
    </w:p>
    <w:p w14:paraId="3974D14A">
      <w:pPr>
        <w:spacing w:after="0" w:line="360" w:lineRule="auto"/>
        <w:ind w:firstLine="540"/>
        <w:rPr>
          <w:rFonts w:hint="eastAsia" w:ascii="仿宋" w:hAnsi="仿宋" w:eastAsia="仿宋" w:cs="仿宋"/>
          <w:szCs w:val="21"/>
          <w:u w:val="single"/>
        </w:rPr>
      </w:pPr>
      <w:r>
        <w:rPr>
          <w:rFonts w:hint="eastAsia" w:ascii="仿宋" w:hAnsi="仿宋" w:eastAsia="仿宋" w:cs="仿宋"/>
          <w:szCs w:val="21"/>
        </w:rPr>
        <w:t>方式：在线获取</w:t>
      </w:r>
    </w:p>
    <w:p w14:paraId="518DE85C">
      <w:pPr>
        <w:spacing w:after="0" w:line="360" w:lineRule="auto"/>
        <w:ind w:firstLine="540"/>
        <w:rPr>
          <w:rFonts w:hint="eastAsia" w:ascii="仿宋" w:hAnsi="仿宋" w:eastAsia="仿宋" w:cs="仿宋"/>
          <w:szCs w:val="21"/>
        </w:rPr>
      </w:pPr>
      <w:r>
        <w:rPr>
          <w:rFonts w:hint="eastAsia" w:ascii="仿宋" w:hAnsi="仿宋" w:eastAsia="仿宋" w:cs="仿宋"/>
          <w:szCs w:val="21"/>
        </w:rPr>
        <w:t>售价：免费获取</w:t>
      </w:r>
    </w:p>
    <w:p w14:paraId="4C180184">
      <w:pPr>
        <w:pStyle w:val="3"/>
        <w:spacing w:before="0" w:after="0" w:line="360" w:lineRule="auto"/>
        <w:rPr>
          <w:rFonts w:hint="eastAsia" w:ascii="仿宋" w:hAnsi="仿宋" w:eastAsia="仿宋" w:cs="仿宋"/>
          <w:b w:val="0"/>
          <w:sz w:val="21"/>
          <w:szCs w:val="21"/>
        </w:rPr>
      </w:pPr>
      <w:bookmarkStart w:id="20" w:name="_Toc28359082"/>
      <w:bookmarkStart w:id="21" w:name="_Toc28359005"/>
      <w:bookmarkStart w:id="22" w:name="_Toc35393793"/>
      <w:bookmarkStart w:id="23" w:name="_Toc26567"/>
      <w:bookmarkStart w:id="24" w:name="_Toc35393624"/>
      <w:bookmarkStart w:id="25" w:name="_Toc25160"/>
      <w:r>
        <w:rPr>
          <w:rFonts w:hint="eastAsia" w:ascii="仿宋" w:hAnsi="仿宋" w:eastAsia="仿宋" w:cs="仿宋"/>
          <w:b w:val="0"/>
          <w:sz w:val="21"/>
          <w:szCs w:val="21"/>
        </w:rPr>
        <w:t>四、提交投标文件</w:t>
      </w:r>
      <w:bookmarkEnd w:id="20"/>
      <w:bookmarkEnd w:id="21"/>
      <w:r>
        <w:rPr>
          <w:rFonts w:hint="eastAsia" w:ascii="仿宋" w:hAnsi="仿宋" w:eastAsia="仿宋" w:cs="仿宋"/>
          <w:b w:val="0"/>
          <w:sz w:val="21"/>
          <w:szCs w:val="21"/>
        </w:rPr>
        <w:t>截止时间、开标时间和地点</w:t>
      </w:r>
      <w:bookmarkEnd w:id="22"/>
      <w:bookmarkEnd w:id="23"/>
      <w:bookmarkEnd w:id="24"/>
      <w:bookmarkEnd w:id="25"/>
    </w:p>
    <w:p w14:paraId="4FFEF49A">
      <w:pPr>
        <w:spacing w:after="0" w:line="360" w:lineRule="auto"/>
        <w:ind w:firstLine="420" w:firstLineChars="200"/>
        <w:rPr>
          <w:rFonts w:hint="eastAsia" w:ascii="仿宋" w:hAnsi="仿宋" w:eastAsia="仿宋" w:cs="仿宋"/>
          <w:bCs/>
          <w:szCs w:val="21"/>
          <w:u w:val="single"/>
        </w:rPr>
      </w:pPr>
      <w:r>
        <w:rPr>
          <w:rFonts w:hint="eastAsia" w:ascii="仿宋" w:hAnsi="仿宋" w:eastAsia="仿宋" w:cs="仿宋"/>
          <w:bCs/>
          <w:szCs w:val="21"/>
        </w:rPr>
        <w:t>时间：</w:t>
      </w:r>
      <w:r>
        <w:rPr>
          <w:rFonts w:hint="eastAsia" w:ascii="仿宋" w:hAnsi="仿宋" w:eastAsia="仿宋" w:cs="仿宋"/>
          <w:szCs w:val="21"/>
          <w:u w:val="single"/>
        </w:rPr>
        <w:t>202</w:t>
      </w:r>
      <w:r>
        <w:rPr>
          <w:rFonts w:hint="eastAsia" w:ascii="仿宋" w:hAnsi="仿宋" w:eastAsia="仿宋" w:cs="仿宋"/>
          <w:szCs w:val="21"/>
          <w:u w:val="single"/>
          <w:lang w:val="en-US" w:eastAsia="zh-CN"/>
        </w:rPr>
        <w:t>6</w:t>
      </w:r>
      <w:r>
        <w:rPr>
          <w:rFonts w:hint="eastAsia" w:ascii="仿宋" w:hAnsi="仿宋" w:eastAsia="仿宋" w:cs="仿宋"/>
          <w:szCs w:val="21"/>
          <w:u w:val="single"/>
        </w:rPr>
        <w:t>年</w:t>
      </w:r>
      <w:r>
        <w:rPr>
          <w:rFonts w:hint="eastAsia" w:ascii="仿宋" w:hAnsi="仿宋" w:eastAsia="仿宋" w:cs="仿宋"/>
          <w:szCs w:val="21"/>
          <w:u w:val="single"/>
          <w:lang w:val="en-US" w:eastAsia="zh-CN"/>
        </w:rPr>
        <w:t xml:space="preserve"> 5</w:t>
      </w:r>
      <w:r>
        <w:rPr>
          <w:rFonts w:hint="eastAsia" w:ascii="仿宋" w:hAnsi="仿宋" w:eastAsia="仿宋" w:cs="仿宋"/>
          <w:szCs w:val="21"/>
          <w:u w:val="single"/>
        </w:rPr>
        <w:t>月</w:t>
      </w:r>
      <w:r>
        <w:rPr>
          <w:rFonts w:hint="eastAsia" w:ascii="仿宋" w:hAnsi="仿宋" w:eastAsia="仿宋" w:cs="仿宋"/>
          <w:szCs w:val="21"/>
          <w:u w:val="single"/>
          <w:lang w:val="en-US" w:eastAsia="zh-CN"/>
        </w:rPr>
        <w:t xml:space="preserve"> 29 </w:t>
      </w:r>
      <w:r>
        <w:rPr>
          <w:rFonts w:hint="eastAsia" w:ascii="仿宋" w:hAnsi="仿宋" w:eastAsia="仿宋" w:cs="仿宋"/>
          <w:szCs w:val="21"/>
          <w:u w:val="single"/>
        </w:rPr>
        <w:t>日</w:t>
      </w:r>
      <w:r>
        <w:rPr>
          <w:rFonts w:hint="eastAsia" w:ascii="仿宋" w:hAnsi="仿宋" w:eastAsia="仿宋" w:cs="仿宋"/>
          <w:bCs/>
          <w:szCs w:val="21"/>
          <w:u w:val="single"/>
          <w:lang w:val="en-US" w:eastAsia="zh-CN"/>
        </w:rPr>
        <w:t xml:space="preserve"> 10</w:t>
      </w:r>
      <w:r>
        <w:rPr>
          <w:rFonts w:hint="eastAsia" w:ascii="仿宋" w:hAnsi="仿宋" w:eastAsia="仿宋" w:cs="仿宋"/>
          <w:bCs/>
          <w:szCs w:val="21"/>
          <w:u w:val="single"/>
        </w:rPr>
        <w:t>时</w:t>
      </w:r>
      <w:r>
        <w:rPr>
          <w:rFonts w:hint="eastAsia" w:ascii="仿宋" w:hAnsi="仿宋" w:eastAsia="仿宋" w:cs="仿宋"/>
          <w:bCs/>
          <w:szCs w:val="21"/>
          <w:u w:val="single"/>
          <w:lang w:val="en-US" w:eastAsia="zh-CN"/>
        </w:rPr>
        <w:t>00</w:t>
      </w:r>
      <w:r>
        <w:rPr>
          <w:rFonts w:hint="eastAsia" w:ascii="仿宋" w:hAnsi="仿宋" w:eastAsia="仿宋" w:cs="仿宋"/>
          <w:bCs/>
          <w:szCs w:val="21"/>
          <w:u w:val="single"/>
        </w:rPr>
        <w:t>分</w:t>
      </w:r>
      <w:r>
        <w:rPr>
          <w:rFonts w:hint="eastAsia" w:ascii="仿宋" w:hAnsi="仿宋" w:eastAsia="仿宋" w:cs="仿宋"/>
          <w:bCs/>
          <w:szCs w:val="21"/>
        </w:rPr>
        <w:t>（北京时间）</w:t>
      </w:r>
    </w:p>
    <w:p w14:paraId="02FA9503">
      <w:pPr>
        <w:spacing w:after="0" w:line="360" w:lineRule="auto"/>
        <w:ind w:firstLine="420" w:firstLineChars="200"/>
        <w:rPr>
          <w:rFonts w:hint="eastAsia" w:ascii="仿宋" w:hAnsi="仿宋" w:eastAsia="仿宋" w:cs="仿宋"/>
          <w:bCs/>
          <w:szCs w:val="21"/>
          <w:u w:val="single"/>
        </w:rPr>
      </w:pPr>
      <w:r>
        <w:rPr>
          <w:rFonts w:hint="eastAsia" w:ascii="仿宋" w:hAnsi="仿宋" w:eastAsia="仿宋" w:cs="仿宋"/>
          <w:szCs w:val="21"/>
        </w:rPr>
        <w:t>地点：那曲市市公共资源交易中心</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2 </w:t>
      </w:r>
      <w:r>
        <w:rPr>
          <w:rFonts w:hint="eastAsia" w:ascii="仿宋" w:hAnsi="仿宋" w:eastAsia="仿宋" w:cs="仿宋"/>
          <w:szCs w:val="21"/>
        </w:rPr>
        <w:t>开标室,</w:t>
      </w:r>
      <w:r>
        <w:rPr>
          <w:rFonts w:hint="eastAsia" w:ascii="仿宋" w:hAnsi="仿宋" w:eastAsia="仿宋" w:cs="仿宋"/>
          <w:spacing w:val="10"/>
          <w:szCs w:val="21"/>
        </w:rPr>
        <w:t>需</w:t>
      </w:r>
      <w:r>
        <w:rPr>
          <w:rFonts w:hint="eastAsia" w:ascii="仿宋" w:hAnsi="仿宋" w:eastAsia="仿宋" w:cs="仿宋"/>
          <w:szCs w:val="21"/>
        </w:rPr>
        <w:t>登录西藏自治区公共资源交易平台上传电子投标文件。</w:t>
      </w:r>
    </w:p>
    <w:p w14:paraId="62333821">
      <w:pPr>
        <w:pStyle w:val="3"/>
        <w:spacing w:before="0" w:after="0" w:line="360" w:lineRule="auto"/>
        <w:rPr>
          <w:rFonts w:hint="eastAsia" w:ascii="仿宋" w:hAnsi="仿宋" w:eastAsia="仿宋" w:cs="仿宋"/>
          <w:b w:val="0"/>
          <w:sz w:val="21"/>
          <w:szCs w:val="21"/>
        </w:rPr>
      </w:pPr>
      <w:bookmarkStart w:id="26" w:name="_Toc30620"/>
      <w:bookmarkStart w:id="27" w:name="_Toc28359084"/>
      <w:bookmarkStart w:id="28" w:name="_Toc32374"/>
      <w:bookmarkStart w:id="29" w:name="_Toc35393794"/>
      <w:bookmarkStart w:id="30" w:name="_Toc35393625"/>
      <w:bookmarkStart w:id="31" w:name="_Toc28359007"/>
      <w:r>
        <w:rPr>
          <w:rFonts w:hint="eastAsia" w:ascii="仿宋" w:hAnsi="仿宋" w:eastAsia="仿宋" w:cs="仿宋"/>
          <w:b w:val="0"/>
          <w:sz w:val="21"/>
          <w:szCs w:val="21"/>
        </w:rPr>
        <w:t>五、公告期限</w:t>
      </w:r>
      <w:bookmarkEnd w:id="26"/>
      <w:bookmarkEnd w:id="27"/>
      <w:bookmarkEnd w:id="28"/>
      <w:bookmarkEnd w:id="29"/>
      <w:bookmarkEnd w:id="30"/>
      <w:bookmarkEnd w:id="31"/>
    </w:p>
    <w:p w14:paraId="61FD31FD">
      <w:pPr>
        <w:spacing w:after="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自本公告发布之日起</w:t>
      </w:r>
      <w:r>
        <w:rPr>
          <w:rFonts w:hint="eastAsia" w:ascii="仿宋" w:hAnsi="仿宋" w:eastAsia="仿宋" w:cs="仿宋"/>
          <w:kern w:val="0"/>
          <w:szCs w:val="21"/>
          <w:u w:val="single"/>
        </w:rPr>
        <w:t xml:space="preserve"> 5 </w:t>
      </w:r>
      <w:r>
        <w:rPr>
          <w:rFonts w:hint="eastAsia" w:ascii="仿宋" w:hAnsi="仿宋" w:eastAsia="仿宋" w:cs="仿宋"/>
          <w:kern w:val="0"/>
          <w:szCs w:val="21"/>
        </w:rPr>
        <w:t>个工作日。</w:t>
      </w:r>
    </w:p>
    <w:p w14:paraId="4973AC3F">
      <w:pPr>
        <w:pStyle w:val="3"/>
        <w:spacing w:before="0" w:after="0" w:line="360" w:lineRule="auto"/>
        <w:rPr>
          <w:rFonts w:hint="eastAsia" w:ascii="仿宋" w:hAnsi="仿宋" w:eastAsia="仿宋" w:cs="仿宋"/>
          <w:b w:val="0"/>
          <w:sz w:val="21"/>
          <w:szCs w:val="21"/>
        </w:rPr>
      </w:pPr>
      <w:bookmarkStart w:id="32" w:name="_Toc35393626"/>
      <w:bookmarkStart w:id="33" w:name="_Toc6722"/>
      <w:bookmarkStart w:id="34" w:name="_Toc2065"/>
      <w:bookmarkStart w:id="35" w:name="_Toc35393795"/>
      <w:r>
        <w:rPr>
          <w:rFonts w:hint="eastAsia" w:ascii="仿宋" w:hAnsi="仿宋" w:eastAsia="仿宋" w:cs="仿宋"/>
          <w:b w:val="0"/>
          <w:sz w:val="21"/>
          <w:szCs w:val="21"/>
        </w:rPr>
        <w:t>六、其他补充事宜</w:t>
      </w:r>
      <w:bookmarkEnd w:id="32"/>
      <w:bookmarkEnd w:id="33"/>
      <w:bookmarkEnd w:id="34"/>
      <w:bookmarkEnd w:id="35"/>
    </w:p>
    <w:p w14:paraId="75A3D7F5">
      <w:pPr>
        <w:spacing w:after="0" w:line="360" w:lineRule="auto"/>
        <w:ind w:firstLine="420" w:firstLineChars="200"/>
        <w:rPr>
          <w:rFonts w:hint="eastAsia" w:ascii="仿宋" w:hAnsi="仿宋" w:eastAsia="仿宋" w:cs="仿宋"/>
        </w:rPr>
      </w:pPr>
      <w:r>
        <w:rPr>
          <w:rFonts w:hint="eastAsia" w:ascii="仿宋" w:hAnsi="仿宋" w:eastAsia="仿宋" w:cs="仿宋"/>
          <w:szCs w:val="21"/>
        </w:rPr>
        <w:t>本公告在西藏自治区公共资源交易网（http://ggzy.xizang.gov.cn/）、西藏自治区政府采购网（http://www.ccgp-xizang.gov.cn）</w:t>
      </w:r>
      <w:r>
        <w:rPr>
          <w:rFonts w:hint="eastAsia" w:ascii="仿宋" w:hAnsi="仿宋" w:eastAsia="仿宋" w:cs="仿宋"/>
        </w:rPr>
        <w:t>上发布</w:t>
      </w:r>
      <w:r>
        <w:rPr>
          <w:rFonts w:hint="eastAsia" w:ascii="仿宋" w:hAnsi="仿宋" w:eastAsia="仿宋" w:cs="仿宋"/>
          <w:szCs w:val="21"/>
        </w:rPr>
        <w:t>，其他媒介转载无效。后续澄清、更正、终止、中标公告请关注上述媒体。</w:t>
      </w:r>
    </w:p>
    <w:p w14:paraId="29A0C180">
      <w:pPr>
        <w:pStyle w:val="3"/>
        <w:spacing w:before="0" w:after="0" w:line="360" w:lineRule="auto"/>
        <w:rPr>
          <w:rFonts w:hint="eastAsia" w:ascii="仿宋" w:hAnsi="仿宋" w:eastAsia="仿宋" w:cs="仿宋"/>
          <w:b w:val="0"/>
          <w:sz w:val="21"/>
          <w:szCs w:val="21"/>
        </w:rPr>
      </w:pPr>
      <w:bookmarkStart w:id="36" w:name="_Toc35393627"/>
      <w:bookmarkStart w:id="37" w:name="_Toc28359085"/>
      <w:bookmarkStart w:id="38" w:name="_Toc35393796"/>
      <w:bookmarkStart w:id="39" w:name="_Toc5432"/>
      <w:bookmarkStart w:id="40" w:name="_Toc28359008"/>
      <w:bookmarkStart w:id="41" w:name="_Toc16090"/>
      <w:r>
        <w:rPr>
          <w:rFonts w:hint="eastAsia" w:ascii="仿宋" w:hAnsi="仿宋" w:eastAsia="仿宋" w:cs="仿宋"/>
          <w:b w:val="0"/>
          <w:sz w:val="21"/>
          <w:szCs w:val="21"/>
        </w:rPr>
        <w:t>七、对本次招标提出询问，请按以下方式联系。</w:t>
      </w:r>
      <w:bookmarkEnd w:id="36"/>
      <w:bookmarkEnd w:id="37"/>
      <w:bookmarkEnd w:id="38"/>
      <w:bookmarkEnd w:id="39"/>
      <w:bookmarkEnd w:id="40"/>
      <w:bookmarkEnd w:id="41"/>
    </w:p>
    <w:p w14:paraId="172C09C5">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1.采购人信息</w:t>
      </w:r>
    </w:p>
    <w:p w14:paraId="6EE9EE0A">
      <w:pPr>
        <w:pStyle w:val="20"/>
        <w:tabs>
          <w:tab w:val="left" w:pos="567"/>
        </w:tabs>
        <w:adjustRightInd w:val="0"/>
        <w:snapToGrid w:val="0"/>
        <w:spacing w:after="0" w:line="360" w:lineRule="auto"/>
        <w:ind w:firstLine="0" w:firstLineChars="0"/>
        <w:rPr>
          <w:rFonts w:hint="eastAsia" w:ascii="仿宋" w:hAnsi="仿宋" w:eastAsia="仿宋" w:cs="仿宋"/>
          <w:szCs w:val="21"/>
          <w:lang w:eastAsia="zh-CN"/>
        </w:rPr>
      </w:pPr>
      <w:r>
        <w:rPr>
          <w:rFonts w:hint="eastAsia" w:ascii="仿宋" w:hAnsi="仿宋" w:eastAsia="仿宋" w:cs="仿宋"/>
          <w:szCs w:val="21"/>
        </w:rPr>
        <w:t>名    称：</w:t>
      </w:r>
      <w:r>
        <w:rPr>
          <w:rFonts w:hint="eastAsia" w:ascii="仿宋" w:hAnsi="仿宋" w:eastAsia="仿宋" w:cs="仿宋"/>
          <w:szCs w:val="21"/>
          <w:lang w:eastAsia="zh-CN"/>
        </w:rPr>
        <w:t>巴青县人民政府</w:t>
      </w:r>
    </w:p>
    <w:p w14:paraId="064467FC">
      <w:pPr>
        <w:pStyle w:val="20"/>
        <w:tabs>
          <w:tab w:val="left" w:pos="567"/>
        </w:tabs>
        <w:adjustRightInd w:val="0"/>
        <w:snapToGrid w:val="0"/>
        <w:spacing w:after="0" w:line="360" w:lineRule="auto"/>
        <w:ind w:firstLine="0" w:firstLineChars="0"/>
        <w:rPr>
          <w:rFonts w:hint="eastAsia" w:ascii="仿宋" w:hAnsi="仿宋" w:eastAsia="仿宋" w:cs="仿宋"/>
          <w:szCs w:val="21"/>
          <w:lang w:val="en-US" w:eastAsia="zh-CN"/>
        </w:rPr>
      </w:pPr>
      <w:r>
        <w:rPr>
          <w:rFonts w:hint="eastAsia" w:ascii="仿宋" w:hAnsi="仿宋" w:eastAsia="仿宋" w:cs="仿宋"/>
          <w:szCs w:val="21"/>
        </w:rPr>
        <w:t>地    址：</w:t>
      </w:r>
      <w:r>
        <w:rPr>
          <w:rFonts w:hint="eastAsia" w:ascii="仿宋" w:hAnsi="仿宋" w:eastAsia="仿宋" w:cs="仿宋"/>
          <w:szCs w:val="21"/>
          <w:lang w:val="en-US" w:eastAsia="zh-CN"/>
        </w:rPr>
        <w:t>那曲市巴青县</w:t>
      </w:r>
    </w:p>
    <w:p w14:paraId="3AC439B8">
      <w:pPr>
        <w:pStyle w:val="20"/>
        <w:tabs>
          <w:tab w:val="left" w:pos="567"/>
        </w:tabs>
        <w:adjustRightInd w:val="0"/>
        <w:snapToGrid w:val="0"/>
        <w:spacing w:after="0" w:line="360" w:lineRule="auto"/>
        <w:ind w:firstLine="0" w:firstLineChars="0"/>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联系方式：杨先生17389065213(工作日拨打） </w:t>
      </w:r>
    </w:p>
    <w:p w14:paraId="458F33EF">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2.采购代理机构信息</w:t>
      </w:r>
    </w:p>
    <w:p w14:paraId="21C83CFB">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招标代理机构：西藏华思进工程咨询有限公司</w:t>
      </w:r>
    </w:p>
    <w:p w14:paraId="19D824E7">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 xml:space="preserve">地    址：拉萨市柳梧新区浙商国际4-2-6-7号 </w:t>
      </w:r>
    </w:p>
    <w:p w14:paraId="140C82D8">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联 系 人：秦威</w:t>
      </w:r>
    </w:p>
    <w:p w14:paraId="3F04528A">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电    话：18882828827</w:t>
      </w:r>
    </w:p>
    <w:p w14:paraId="23DF4935">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3.项目联系方式</w:t>
      </w:r>
    </w:p>
    <w:p w14:paraId="48083E43">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项目联系人：秦威</w:t>
      </w:r>
    </w:p>
    <w:p w14:paraId="7F49592B">
      <w:pPr>
        <w:pStyle w:val="20"/>
        <w:tabs>
          <w:tab w:val="left" w:pos="567"/>
        </w:tabs>
        <w:adjustRightInd w:val="0"/>
        <w:snapToGrid w:val="0"/>
        <w:spacing w:after="0" w:line="360" w:lineRule="auto"/>
        <w:ind w:firstLine="0" w:firstLineChars="0"/>
        <w:rPr>
          <w:rFonts w:hint="eastAsia" w:ascii="仿宋" w:hAnsi="仿宋" w:eastAsia="仿宋" w:cs="仿宋"/>
          <w:szCs w:val="21"/>
        </w:rPr>
      </w:pPr>
      <w:r>
        <w:rPr>
          <w:rFonts w:hint="eastAsia" w:ascii="仿宋" w:hAnsi="仿宋" w:eastAsia="仿宋" w:cs="仿宋"/>
          <w:szCs w:val="21"/>
        </w:rPr>
        <w:t>电      话：18882828827</w:t>
      </w:r>
    </w:p>
    <w:p w14:paraId="3BEEB5BE">
      <w:pPr>
        <w:pStyle w:val="20"/>
        <w:tabs>
          <w:tab w:val="left" w:pos="567"/>
        </w:tabs>
        <w:adjustRightInd w:val="0"/>
        <w:snapToGrid w:val="0"/>
        <w:spacing w:after="0" w:line="360" w:lineRule="auto"/>
        <w:ind w:firstLine="0" w:firstLineChars="0"/>
        <w:rPr>
          <w:rFonts w:hint="eastAsia" w:ascii="仿宋" w:hAnsi="仿宋" w:eastAsia="仿宋" w:cs="仿宋"/>
          <w:szCs w:val="21"/>
        </w:rPr>
      </w:pPr>
    </w:p>
    <w:p w14:paraId="4FBEFBE3">
      <w:pPr>
        <w:pStyle w:val="19"/>
        <w:spacing w:before="0" w:after="0" w:line="360" w:lineRule="auto"/>
        <w:rPr>
          <w:rFonts w:hint="eastAsia" w:ascii="仿宋" w:hAnsi="仿宋" w:eastAsia="仿宋" w:cs="仿宋"/>
          <w:szCs w:val="21"/>
        </w:rPr>
        <w:sectPr>
          <w:footerReference r:id="rId9" w:type="first"/>
          <w:footerReference r:id="rId8" w:type="default"/>
          <w:pgSz w:w="11906" w:h="16838"/>
          <w:pgMar w:top="1440" w:right="1800" w:bottom="1440" w:left="1800" w:header="851" w:footer="992" w:gutter="0"/>
          <w:pgNumType w:start="1"/>
          <w:cols w:space="720" w:num="1"/>
          <w:titlePg/>
          <w:docGrid w:type="lines" w:linePitch="312" w:charSpace="0"/>
        </w:sectPr>
      </w:pPr>
    </w:p>
    <w:p w14:paraId="6CD20057">
      <w:pPr>
        <w:pStyle w:val="19"/>
        <w:spacing w:before="0" w:after="0" w:line="360" w:lineRule="auto"/>
        <w:rPr>
          <w:rFonts w:hint="eastAsia" w:ascii="仿宋" w:hAnsi="仿宋" w:eastAsia="仿宋" w:cs="仿宋"/>
          <w:bCs w:val="0"/>
          <w:kern w:val="2"/>
          <w:sz w:val="21"/>
          <w:szCs w:val="21"/>
          <w:u w:val="single"/>
        </w:rPr>
      </w:pPr>
      <w:bookmarkStart w:id="42" w:name="_Toc447265500"/>
      <w:bookmarkStart w:id="43" w:name="_Toc20009"/>
      <w:bookmarkStart w:id="44" w:name="_Toc447265214"/>
      <w:bookmarkStart w:id="45" w:name="_Toc447188665"/>
      <w:r>
        <w:rPr>
          <w:rFonts w:hint="eastAsia" w:ascii="仿宋" w:hAnsi="仿宋" w:eastAsia="仿宋" w:cs="仿宋"/>
          <w:b/>
          <w:bCs w:val="0"/>
          <w:kern w:val="0"/>
          <w:sz w:val="32"/>
          <w:szCs w:val="32"/>
        </w:rPr>
        <w:t>第二章  供应商须知</w:t>
      </w:r>
      <w:bookmarkEnd w:id="42"/>
      <w:bookmarkEnd w:id="43"/>
      <w:bookmarkEnd w:id="44"/>
      <w:bookmarkEnd w:id="45"/>
    </w:p>
    <w:p w14:paraId="4F63F161">
      <w:pPr>
        <w:pStyle w:val="3"/>
        <w:snapToGrid w:val="0"/>
        <w:spacing w:before="0" w:after="0" w:line="360" w:lineRule="auto"/>
        <w:jc w:val="center"/>
        <w:rPr>
          <w:rFonts w:hint="eastAsia" w:ascii="仿宋" w:hAnsi="仿宋" w:eastAsia="仿宋" w:cs="仿宋"/>
          <w:sz w:val="28"/>
          <w:szCs w:val="28"/>
        </w:rPr>
      </w:pPr>
      <w:bookmarkStart w:id="46" w:name="_Toc447265501"/>
      <w:bookmarkStart w:id="47" w:name="_Toc447265215"/>
      <w:bookmarkStart w:id="48" w:name="_Toc226969277"/>
      <w:bookmarkStart w:id="49" w:name="_Toc447188666"/>
      <w:bookmarkStart w:id="50" w:name="_Toc236"/>
      <w:bookmarkStart w:id="51" w:name="_Toc227057884"/>
      <w:r>
        <w:rPr>
          <w:rFonts w:hint="eastAsia" w:ascii="仿宋" w:hAnsi="仿宋" w:eastAsia="仿宋" w:cs="仿宋"/>
          <w:b w:val="0"/>
          <w:bCs w:val="0"/>
          <w:sz w:val="28"/>
          <w:szCs w:val="28"/>
        </w:rPr>
        <w:t>供应商须知前附表</w:t>
      </w:r>
      <w:bookmarkEnd w:id="46"/>
      <w:bookmarkEnd w:id="47"/>
      <w:bookmarkEnd w:id="48"/>
      <w:bookmarkEnd w:id="49"/>
      <w:bookmarkEnd w:id="50"/>
      <w:bookmarkEnd w:id="51"/>
    </w:p>
    <w:p w14:paraId="4830061B">
      <w:pPr>
        <w:autoSpaceDE w:val="0"/>
        <w:autoSpaceDN w:val="0"/>
        <w:spacing w:after="0" w:line="360" w:lineRule="auto"/>
        <w:ind w:firstLine="480" w:firstLineChars="200"/>
        <w:rPr>
          <w:rFonts w:hint="eastAsia" w:ascii="仿宋" w:hAnsi="仿宋" w:eastAsia="仿宋" w:cs="仿宋"/>
          <w:sz w:val="24"/>
          <w:szCs w:val="32"/>
        </w:rPr>
      </w:pPr>
      <w:r>
        <w:rPr>
          <w:rFonts w:hint="eastAsia" w:ascii="仿宋" w:hAnsi="仿宋" w:eastAsia="仿宋" w:cs="仿宋"/>
          <w:sz w:val="24"/>
        </w:rPr>
        <w:t>本供应商须知前附表是对供应商须知正文的具体补充和修改，如有矛盾，以本前附表为准。</w:t>
      </w:r>
      <w:bookmarkStart w:id="52" w:name="_Toc488655831"/>
      <w:bookmarkStart w:id="53" w:name="_Toc447188667"/>
      <w:bookmarkStart w:id="54" w:name="_Toc107822484"/>
      <w:bookmarkStart w:id="55" w:name="_Toc227057885"/>
      <w:bookmarkStart w:id="56" w:name="_Toc226969278"/>
    </w:p>
    <w:tbl>
      <w:tblPr>
        <w:tblStyle w:val="16"/>
        <w:tblW w:w="0" w:type="auto"/>
        <w:tblInd w:w="28"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709"/>
        <w:gridCol w:w="1701"/>
        <w:gridCol w:w="5891"/>
      </w:tblGrid>
      <w:tr w14:paraId="624991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27" w:hRule="atLeast"/>
          <w:tblHeader/>
        </w:trPr>
        <w:tc>
          <w:tcPr>
            <w:tcW w:w="709" w:type="dxa"/>
            <w:vAlign w:val="center"/>
          </w:tcPr>
          <w:p w14:paraId="75671AEA">
            <w:pPr>
              <w:autoSpaceDE w:val="0"/>
              <w:autoSpaceDN w:val="0"/>
              <w:adjustRightInd w:val="0"/>
              <w:snapToGrid w:val="0"/>
              <w:spacing w:after="0" w:line="360" w:lineRule="auto"/>
              <w:jc w:val="center"/>
              <w:rPr>
                <w:rFonts w:hint="eastAsia" w:ascii="仿宋" w:hAnsi="仿宋" w:eastAsia="仿宋" w:cs="仿宋"/>
                <w:b/>
                <w:szCs w:val="21"/>
              </w:rPr>
            </w:pPr>
            <w:r>
              <w:rPr>
                <w:rFonts w:hint="eastAsia" w:ascii="仿宋" w:hAnsi="仿宋" w:eastAsia="仿宋" w:cs="仿宋"/>
                <w:b/>
                <w:szCs w:val="21"/>
              </w:rPr>
              <w:t>序号</w:t>
            </w:r>
          </w:p>
        </w:tc>
        <w:tc>
          <w:tcPr>
            <w:tcW w:w="1701" w:type="dxa"/>
            <w:vAlign w:val="center"/>
          </w:tcPr>
          <w:p w14:paraId="0F806C6F">
            <w:pPr>
              <w:autoSpaceDE w:val="0"/>
              <w:autoSpaceDN w:val="0"/>
              <w:adjustRightInd w:val="0"/>
              <w:snapToGrid w:val="0"/>
              <w:spacing w:after="0" w:line="360" w:lineRule="auto"/>
              <w:jc w:val="center"/>
              <w:rPr>
                <w:rFonts w:hint="eastAsia" w:ascii="仿宋" w:hAnsi="仿宋" w:eastAsia="仿宋" w:cs="仿宋"/>
                <w:b/>
                <w:szCs w:val="21"/>
              </w:rPr>
            </w:pPr>
            <w:r>
              <w:rPr>
                <w:rFonts w:hint="eastAsia" w:ascii="仿宋" w:hAnsi="仿宋" w:eastAsia="仿宋" w:cs="仿宋"/>
                <w:b/>
                <w:szCs w:val="21"/>
              </w:rPr>
              <w:t>条款名称</w:t>
            </w:r>
          </w:p>
        </w:tc>
        <w:tc>
          <w:tcPr>
            <w:tcW w:w="5891" w:type="dxa"/>
            <w:vAlign w:val="center"/>
          </w:tcPr>
          <w:p w14:paraId="4CCCA7AE">
            <w:pPr>
              <w:autoSpaceDE w:val="0"/>
              <w:autoSpaceDN w:val="0"/>
              <w:adjustRightInd w:val="0"/>
              <w:snapToGrid w:val="0"/>
              <w:spacing w:after="0" w:line="360" w:lineRule="auto"/>
              <w:jc w:val="center"/>
              <w:rPr>
                <w:rFonts w:hint="eastAsia" w:ascii="仿宋" w:hAnsi="仿宋" w:eastAsia="仿宋" w:cs="仿宋"/>
                <w:b/>
                <w:szCs w:val="21"/>
              </w:rPr>
            </w:pPr>
            <w:r>
              <w:rPr>
                <w:rFonts w:hint="eastAsia" w:ascii="仿宋" w:hAnsi="仿宋" w:eastAsia="仿宋" w:cs="仿宋"/>
                <w:b/>
                <w:szCs w:val="21"/>
              </w:rPr>
              <w:t>编列内容</w:t>
            </w:r>
          </w:p>
        </w:tc>
      </w:tr>
      <w:tr w14:paraId="617002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3B5B27E8">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1</w:t>
            </w:r>
          </w:p>
        </w:tc>
        <w:tc>
          <w:tcPr>
            <w:tcW w:w="1701" w:type="dxa"/>
            <w:vAlign w:val="center"/>
          </w:tcPr>
          <w:p w14:paraId="3316B7D0">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采购人</w:t>
            </w:r>
          </w:p>
        </w:tc>
        <w:tc>
          <w:tcPr>
            <w:tcW w:w="5891" w:type="dxa"/>
            <w:vAlign w:val="center"/>
          </w:tcPr>
          <w:p w14:paraId="3158AF3B">
            <w:pPr>
              <w:autoSpaceDE w:val="0"/>
              <w:autoSpaceDN w:val="0"/>
              <w:adjustRightInd w:val="0"/>
              <w:snapToGrid w:val="0"/>
              <w:spacing w:after="0" w:line="360" w:lineRule="auto"/>
              <w:rPr>
                <w:rFonts w:hint="eastAsia" w:ascii="仿宋" w:hAnsi="仿宋" w:eastAsia="仿宋" w:cs="仿宋"/>
                <w:szCs w:val="21"/>
                <w:lang w:eastAsia="zh-CN"/>
              </w:rPr>
            </w:pPr>
            <w:r>
              <w:rPr>
                <w:rFonts w:hint="eastAsia" w:ascii="仿宋" w:hAnsi="仿宋" w:eastAsia="仿宋" w:cs="仿宋"/>
                <w:szCs w:val="21"/>
              </w:rPr>
              <w:t>采购人名称：</w:t>
            </w:r>
            <w:r>
              <w:rPr>
                <w:rFonts w:hint="eastAsia" w:ascii="仿宋" w:hAnsi="仿宋" w:eastAsia="仿宋" w:cs="仿宋"/>
                <w:szCs w:val="21"/>
                <w:lang w:eastAsia="zh-CN"/>
              </w:rPr>
              <w:t>巴青县人民政府</w:t>
            </w:r>
          </w:p>
          <w:p w14:paraId="6CCBCC78">
            <w:pPr>
              <w:autoSpaceDE w:val="0"/>
              <w:autoSpaceDN w:val="0"/>
              <w:adjustRightInd w:val="0"/>
              <w:snapToGrid w:val="0"/>
              <w:spacing w:after="0" w:line="360" w:lineRule="auto"/>
              <w:rPr>
                <w:rFonts w:hint="eastAsia" w:ascii="仿宋" w:hAnsi="仿宋" w:eastAsia="仿宋" w:cs="仿宋"/>
                <w:szCs w:val="21"/>
                <w:lang w:eastAsia="zh-CN"/>
              </w:rPr>
            </w:pPr>
            <w:r>
              <w:rPr>
                <w:rFonts w:hint="eastAsia" w:ascii="仿宋" w:hAnsi="仿宋" w:eastAsia="仿宋" w:cs="仿宋"/>
                <w:szCs w:val="21"/>
              </w:rPr>
              <w:t>采购人地址：</w:t>
            </w:r>
            <w:r>
              <w:rPr>
                <w:rFonts w:hint="eastAsia" w:ascii="仿宋" w:hAnsi="仿宋" w:eastAsia="仿宋" w:cs="仿宋"/>
                <w:szCs w:val="21"/>
                <w:lang w:eastAsia="zh-CN"/>
              </w:rPr>
              <w:t>那曲市巴青县</w:t>
            </w:r>
          </w:p>
        </w:tc>
      </w:tr>
      <w:tr w14:paraId="00A5E4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117A3D8">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w:t>
            </w:r>
          </w:p>
        </w:tc>
        <w:tc>
          <w:tcPr>
            <w:tcW w:w="1701" w:type="dxa"/>
            <w:vAlign w:val="center"/>
          </w:tcPr>
          <w:p w14:paraId="22F56B30">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招标项目名称</w:t>
            </w:r>
          </w:p>
        </w:tc>
        <w:tc>
          <w:tcPr>
            <w:tcW w:w="5891" w:type="dxa"/>
            <w:vAlign w:val="center"/>
          </w:tcPr>
          <w:p w14:paraId="3C1DE27C">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项目名称：</w:t>
            </w:r>
            <w:r>
              <w:rPr>
                <w:rFonts w:hint="eastAsia" w:ascii="仿宋" w:hAnsi="仿宋" w:eastAsia="仿宋" w:cs="仿宋"/>
                <w:szCs w:val="21"/>
                <w:lang w:eastAsia="zh-CN"/>
              </w:rPr>
              <w:t>巴青县生物多样性调查项目</w:t>
            </w:r>
          </w:p>
          <w:p w14:paraId="618684EA">
            <w:pPr>
              <w:autoSpaceDE w:val="0"/>
              <w:autoSpaceDN w:val="0"/>
              <w:adjustRightInd w:val="0"/>
              <w:snapToGrid w:val="0"/>
              <w:spacing w:after="0" w:line="360" w:lineRule="auto"/>
              <w:rPr>
                <w:rFonts w:hint="eastAsia" w:ascii="仿宋" w:hAnsi="仿宋" w:eastAsia="仿宋" w:cs="仿宋"/>
                <w:szCs w:val="21"/>
                <w:lang w:eastAsia="zh-CN"/>
              </w:rPr>
            </w:pPr>
            <w:r>
              <w:rPr>
                <w:rFonts w:hint="eastAsia" w:ascii="仿宋" w:hAnsi="仿宋" w:eastAsia="仿宋" w:cs="仿宋"/>
                <w:szCs w:val="21"/>
              </w:rPr>
              <w:t>项目编号：GZFCG2026-33155</w:t>
            </w:r>
            <w:r>
              <w:rPr>
                <w:rFonts w:hint="eastAsia" w:ascii="仿宋" w:hAnsi="仿宋" w:eastAsia="仿宋" w:cs="仿宋"/>
                <w:szCs w:val="21"/>
                <w:lang w:val="en-US" w:eastAsia="zh-CN"/>
              </w:rPr>
              <w:t xml:space="preserve"> </w:t>
            </w:r>
          </w:p>
        </w:tc>
      </w:tr>
      <w:tr w14:paraId="2E8020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774EB1E5">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w:t>
            </w:r>
          </w:p>
        </w:tc>
        <w:tc>
          <w:tcPr>
            <w:tcW w:w="1701" w:type="dxa"/>
            <w:vAlign w:val="center"/>
          </w:tcPr>
          <w:p w14:paraId="210BA54A">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资金来源</w:t>
            </w:r>
          </w:p>
        </w:tc>
        <w:tc>
          <w:tcPr>
            <w:tcW w:w="5891" w:type="dxa"/>
            <w:vAlign w:val="center"/>
          </w:tcPr>
          <w:p w14:paraId="56D0DA14">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□采购人自筹</w:t>
            </w:r>
          </w:p>
          <w:p w14:paraId="254B1512">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■财政性资金</w:t>
            </w:r>
          </w:p>
          <w:p w14:paraId="4C742B48">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□银行贷款</w:t>
            </w:r>
          </w:p>
          <w:p w14:paraId="1FAD3789">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□国家融资</w:t>
            </w:r>
          </w:p>
          <w:p w14:paraId="53383618">
            <w:pPr>
              <w:autoSpaceDE w:val="0"/>
              <w:autoSpaceDN w:val="0"/>
              <w:adjustRightInd w:val="0"/>
              <w:snapToGrid w:val="0"/>
              <w:spacing w:after="0" w:line="360" w:lineRule="auto"/>
              <w:rPr>
                <w:rFonts w:hint="eastAsia" w:ascii="仿宋" w:hAnsi="仿宋" w:eastAsia="仿宋" w:cs="仿宋"/>
                <w:szCs w:val="21"/>
                <w:u w:val="single"/>
              </w:rPr>
            </w:pPr>
            <w:r>
              <w:rPr>
                <w:rFonts w:hint="eastAsia" w:ascii="仿宋" w:hAnsi="仿宋" w:eastAsia="仿宋" w:cs="仿宋"/>
                <w:szCs w:val="21"/>
              </w:rPr>
              <w:t>□其他：</w:t>
            </w:r>
          </w:p>
        </w:tc>
      </w:tr>
      <w:tr w14:paraId="64F5041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0477D390">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4</w:t>
            </w:r>
          </w:p>
        </w:tc>
        <w:tc>
          <w:tcPr>
            <w:tcW w:w="1701" w:type="dxa"/>
            <w:vAlign w:val="center"/>
          </w:tcPr>
          <w:p w14:paraId="03FBE26E">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标段划分</w:t>
            </w:r>
          </w:p>
        </w:tc>
        <w:tc>
          <w:tcPr>
            <w:tcW w:w="5891" w:type="dxa"/>
            <w:vAlign w:val="center"/>
          </w:tcPr>
          <w:p w14:paraId="712A4264">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■不划分标段</w:t>
            </w:r>
          </w:p>
          <w:p w14:paraId="7D41EB83">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□标段招标，标段划分情况：</w:t>
            </w:r>
            <w:r>
              <w:rPr>
                <w:rFonts w:hint="eastAsia" w:ascii="仿宋" w:hAnsi="仿宋" w:eastAsia="仿宋" w:cs="仿宋"/>
                <w:szCs w:val="21"/>
                <w:u w:val="single"/>
              </w:rPr>
              <w:t>详见招标公告</w:t>
            </w:r>
          </w:p>
        </w:tc>
      </w:tr>
      <w:tr w14:paraId="4DF3FC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6AAB7CE">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5</w:t>
            </w:r>
          </w:p>
        </w:tc>
        <w:tc>
          <w:tcPr>
            <w:tcW w:w="1701" w:type="dxa"/>
            <w:vAlign w:val="center"/>
          </w:tcPr>
          <w:p w14:paraId="7E5A1E51">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采购方式</w:t>
            </w:r>
          </w:p>
        </w:tc>
        <w:tc>
          <w:tcPr>
            <w:tcW w:w="5891" w:type="dxa"/>
            <w:vAlign w:val="center"/>
          </w:tcPr>
          <w:p w14:paraId="624A0A60">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■公开招标</w:t>
            </w:r>
          </w:p>
          <w:p w14:paraId="4D7CF5F1">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□邀请招标</w:t>
            </w:r>
          </w:p>
        </w:tc>
      </w:tr>
      <w:tr w14:paraId="269C4F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419BFAA">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6</w:t>
            </w:r>
          </w:p>
        </w:tc>
        <w:tc>
          <w:tcPr>
            <w:tcW w:w="1701" w:type="dxa"/>
            <w:vAlign w:val="center"/>
          </w:tcPr>
          <w:p w14:paraId="0ADAAC09">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招标组织形式</w:t>
            </w:r>
          </w:p>
        </w:tc>
        <w:tc>
          <w:tcPr>
            <w:tcW w:w="5891" w:type="dxa"/>
            <w:vAlign w:val="center"/>
          </w:tcPr>
          <w:p w14:paraId="02068F7E">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□自行招标</w:t>
            </w:r>
          </w:p>
          <w:p w14:paraId="50BB8D6B">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■委托招标代理机构代理招标</w:t>
            </w:r>
          </w:p>
          <w:p w14:paraId="462D2800">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名称：西藏华思进工程咨询有限公司</w:t>
            </w:r>
          </w:p>
          <w:p w14:paraId="4D646895">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地址：拉萨市柳梧新区浙商国际4-2-6-7号</w:t>
            </w:r>
          </w:p>
          <w:p w14:paraId="200CFB24">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联系人：秦威</w:t>
            </w:r>
          </w:p>
          <w:p w14:paraId="2D0B53D8">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电话：18882828827</w:t>
            </w:r>
          </w:p>
        </w:tc>
      </w:tr>
      <w:tr w14:paraId="6A217E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33" w:hRule="atLeast"/>
        </w:trPr>
        <w:tc>
          <w:tcPr>
            <w:tcW w:w="709" w:type="dxa"/>
            <w:vAlign w:val="center"/>
          </w:tcPr>
          <w:p w14:paraId="5591676F">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7</w:t>
            </w:r>
          </w:p>
        </w:tc>
        <w:tc>
          <w:tcPr>
            <w:tcW w:w="1701" w:type="dxa"/>
            <w:vAlign w:val="center"/>
          </w:tcPr>
          <w:p w14:paraId="4639F2A1">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资格审查方式</w:t>
            </w:r>
          </w:p>
        </w:tc>
        <w:tc>
          <w:tcPr>
            <w:tcW w:w="5891" w:type="dxa"/>
            <w:vAlign w:val="center"/>
          </w:tcPr>
          <w:p w14:paraId="381DD425">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□资格预审</w:t>
            </w:r>
          </w:p>
          <w:p w14:paraId="6B60581F">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■资格后审，资格条件见第一章“招标公告”</w:t>
            </w:r>
          </w:p>
        </w:tc>
      </w:tr>
      <w:tr w14:paraId="29B0C35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1FCA585">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8</w:t>
            </w:r>
          </w:p>
        </w:tc>
        <w:tc>
          <w:tcPr>
            <w:tcW w:w="1701" w:type="dxa"/>
            <w:vAlign w:val="center"/>
          </w:tcPr>
          <w:p w14:paraId="7466AB71">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招标文件实质性要求的标识</w:t>
            </w:r>
          </w:p>
        </w:tc>
        <w:tc>
          <w:tcPr>
            <w:tcW w:w="5891" w:type="dxa"/>
            <w:vAlign w:val="center"/>
          </w:tcPr>
          <w:p w14:paraId="21CBFCDF">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招标文件中标识“</w:t>
            </w:r>
            <w:r>
              <w:rPr>
                <w:rFonts w:hint="eastAsia" w:ascii="仿宋" w:hAnsi="仿宋" w:eastAsia="仿宋" w:cs="仿宋"/>
                <w:b/>
                <w:szCs w:val="21"/>
              </w:rPr>
              <w:t>※</w:t>
            </w:r>
            <w:r>
              <w:rPr>
                <w:rFonts w:hint="eastAsia" w:ascii="仿宋" w:hAnsi="仿宋" w:eastAsia="仿宋" w:cs="仿宋"/>
                <w:szCs w:val="21"/>
              </w:rPr>
              <w:t>”的条款，均为实质性条款，供应商任何不满足实质性条款的投标均将被否决。</w:t>
            </w:r>
          </w:p>
        </w:tc>
      </w:tr>
      <w:tr w14:paraId="23F8C58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25" w:hRule="atLeast"/>
        </w:trPr>
        <w:tc>
          <w:tcPr>
            <w:tcW w:w="709" w:type="dxa"/>
            <w:vAlign w:val="center"/>
          </w:tcPr>
          <w:p w14:paraId="7D43A424">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9</w:t>
            </w:r>
          </w:p>
        </w:tc>
        <w:tc>
          <w:tcPr>
            <w:tcW w:w="1701" w:type="dxa"/>
            <w:vAlign w:val="center"/>
          </w:tcPr>
          <w:p w14:paraId="26FD05B8">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踏勘现场</w:t>
            </w:r>
          </w:p>
        </w:tc>
        <w:tc>
          <w:tcPr>
            <w:tcW w:w="5891" w:type="dxa"/>
            <w:vAlign w:val="center"/>
          </w:tcPr>
          <w:p w14:paraId="53D13B6F">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■不组织</w:t>
            </w:r>
          </w:p>
          <w:p w14:paraId="1CE1F821">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□组织，踏勘现场的时间、地点：</w:t>
            </w:r>
            <w:r>
              <w:rPr>
                <w:rFonts w:hint="eastAsia" w:ascii="仿宋" w:hAnsi="仿宋" w:eastAsia="仿宋" w:cs="仿宋"/>
                <w:szCs w:val="21"/>
                <w:u w:val="single"/>
              </w:rPr>
              <w:t xml:space="preserve"> /</w:t>
            </w:r>
          </w:p>
        </w:tc>
      </w:tr>
      <w:tr w14:paraId="5ECCFA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19BFC1F0">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10</w:t>
            </w:r>
          </w:p>
        </w:tc>
        <w:tc>
          <w:tcPr>
            <w:tcW w:w="1701" w:type="dxa"/>
            <w:vAlign w:val="center"/>
          </w:tcPr>
          <w:p w14:paraId="6C7FD67F">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投标预备会</w:t>
            </w:r>
          </w:p>
        </w:tc>
        <w:tc>
          <w:tcPr>
            <w:tcW w:w="5891" w:type="dxa"/>
            <w:vAlign w:val="center"/>
          </w:tcPr>
          <w:p w14:paraId="7F54BCD2">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■不召开</w:t>
            </w:r>
          </w:p>
          <w:p w14:paraId="70DCB9B3">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□召开，召开投标预备会时间、地点：</w:t>
            </w:r>
            <w:r>
              <w:rPr>
                <w:rFonts w:hint="eastAsia" w:ascii="仿宋" w:hAnsi="仿宋" w:eastAsia="仿宋" w:cs="仿宋"/>
                <w:szCs w:val="21"/>
                <w:u w:val="single"/>
              </w:rPr>
              <w:t xml:space="preserve"> /</w:t>
            </w:r>
          </w:p>
        </w:tc>
      </w:tr>
      <w:tr w14:paraId="7E6950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78A5297E">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11</w:t>
            </w:r>
          </w:p>
        </w:tc>
        <w:tc>
          <w:tcPr>
            <w:tcW w:w="1701" w:type="dxa"/>
            <w:vAlign w:val="center"/>
          </w:tcPr>
          <w:p w14:paraId="7335AE9F">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供应商提出质疑的截止时间和方式</w:t>
            </w:r>
          </w:p>
        </w:tc>
        <w:tc>
          <w:tcPr>
            <w:tcW w:w="5891" w:type="dxa"/>
            <w:vAlign w:val="center"/>
          </w:tcPr>
          <w:p w14:paraId="6D7900AC">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截止时间：获取招标文件或者招标文件公告期限届满之日起7个工作日内一次性提出质疑。</w:t>
            </w:r>
          </w:p>
          <w:p w14:paraId="561BAA83">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提出质疑方式：将书面质疑文件盖章的纸质版递交至招标代理机构。</w:t>
            </w:r>
          </w:p>
        </w:tc>
      </w:tr>
      <w:tr w14:paraId="27ED18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93AD60B">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12</w:t>
            </w:r>
          </w:p>
        </w:tc>
        <w:tc>
          <w:tcPr>
            <w:tcW w:w="1701" w:type="dxa"/>
            <w:vAlign w:val="center"/>
          </w:tcPr>
          <w:p w14:paraId="51323AD6">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采购人发出招标文件澄清或者修改的截止时间和方式</w:t>
            </w:r>
          </w:p>
        </w:tc>
        <w:tc>
          <w:tcPr>
            <w:tcW w:w="5891" w:type="dxa"/>
            <w:vAlign w:val="center"/>
          </w:tcPr>
          <w:p w14:paraId="0F081197">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截止时间：澄清或者修改的内容可能影响投标文件编制，应当在投标截止时间至少15日前。</w:t>
            </w:r>
          </w:p>
          <w:p w14:paraId="43978C45">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发出澄清或者修改的方式：澄清或者修改内容在原公告发布媒体上发布。</w:t>
            </w:r>
          </w:p>
        </w:tc>
      </w:tr>
      <w:tr w14:paraId="7DB52F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1096" w:hRule="atLeast"/>
        </w:trPr>
        <w:tc>
          <w:tcPr>
            <w:tcW w:w="709" w:type="dxa"/>
            <w:vAlign w:val="center"/>
          </w:tcPr>
          <w:p w14:paraId="4DD83DA6">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13</w:t>
            </w:r>
          </w:p>
        </w:tc>
        <w:tc>
          <w:tcPr>
            <w:tcW w:w="1701" w:type="dxa"/>
            <w:vAlign w:val="center"/>
          </w:tcPr>
          <w:p w14:paraId="7BC1E7DC">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供应商确认收到澄清或者修改的时间和方式</w:t>
            </w:r>
          </w:p>
        </w:tc>
        <w:tc>
          <w:tcPr>
            <w:tcW w:w="5891" w:type="dxa"/>
            <w:vAlign w:val="center"/>
          </w:tcPr>
          <w:p w14:paraId="58E8EBF7">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确认收到澄清或者修改的时间：发出澄清或者修改的当日。</w:t>
            </w:r>
          </w:p>
          <w:p w14:paraId="7AB1451C">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确认收到澄清或者修改的方式：投标人应当关注原公告发布媒体，自行登录查看。</w:t>
            </w:r>
          </w:p>
        </w:tc>
      </w:tr>
      <w:tr w14:paraId="1753DF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AFE0D0B">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14</w:t>
            </w:r>
          </w:p>
        </w:tc>
        <w:tc>
          <w:tcPr>
            <w:tcW w:w="1701" w:type="dxa"/>
            <w:vAlign w:val="center"/>
          </w:tcPr>
          <w:p w14:paraId="6F4731A4">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投标文件应答和编写</w:t>
            </w:r>
          </w:p>
        </w:tc>
        <w:tc>
          <w:tcPr>
            <w:tcW w:w="5891" w:type="dxa"/>
            <w:vAlign w:val="center"/>
          </w:tcPr>
          <w:p w14:paraId="194847D5">
            <w:pPr>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1.投标人须按照西藏自治区公共资源交易平台系统要求制作并提交投标文件。</w:t>
            </w:r>
          </w:p>
          <w:p w14:paraId="04F8758C">
            <w:pPr>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2.具体请登录西藏自治区公共资源交易平台（http://ggzy.xizang.gov.cn/）“服务中心”，认真了解流程和要求并严格按照操作手册制作投标文件，在投标截止时间前上传。</w:t>
            </w:r>
          </w:p>
          <w:p w14:paraId="4AC2340E">
            <w:pPr>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3.招标代理机构在开标系统内发起解密步骤后，由投标人自行使用IE浏览器登录西藏自治区公共资源交易平台对本公司投标文件进行解密。</w:t>
            </w:r>
          </w:p>
        </w:tc>
      </w:tr>
      <w:tr w14:paraId="525527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716" w:hRule="atLeast"/>
        </w:trPr>
        <w:tc>
          <w:tcPr>
            <w:tcW w:w="709" w:type="dxa"/>
            <w:vAlign w:val="center"/>
          </w:tcPr>
          <w:p w14:paraId="07BC4483">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※15</w:t>
            </w:r>
          </w:p>
        </w:tc>
        <w:tc>
          <w:tcPr>
            <w:tcW w:w="1701" w:type="dxa"/>
            <w:vAlign w:val="center"/>
          </w:tcPr>
          <w:p w14:paraId="5C9D150D">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投标文件的盖章或者签字</w:t>
            </w:r>
          </w:p>
        </w:tc>
        <w:tc>
          <w:tcPr>
            <w:tcW w:w="5891" w:type="dxa"/>
            <w:vAlign w:val="center"/>
          </w:tcPr>
          <w:p w14:paraId="113D8E29">
            <w:pPr>
              <w:autoSpaceDE w:val="0"/>
              <w:autoSpaceDN w:val="0"/>
              <w:adjustRightInd w:val="0"/>
              <w:snapToGrid w:val="0"/>
              <w:spacing w:after="0" w:line="360" w:lineRule="auto"/>
              <w:rPr>
                <w:rFonts w:hint="eastAsia" w:ascii="仿宋" w:hAnsi="仿宋" w:eastAsia="仿宋" w:cs="仿宋"/>
                <w:b/>
                <w:bCs/>
                <w:szCs w:val="21"/>
              </w:rPr>
            </w:pPr>
            <w:r>
              <w:rPr>
                <w:rFonts w:hint="eastAsia" w:ascii="仿宋" w:hAnsi="仿宋" w:eastAsia="仿宋" w:cs="仿宋"/>
                <w:b/>
                <w:bCs/>
                <w:szCs w:val="21"/>
              </w:rPr>
              <w:t>（1）招标文件第六章“投标文件格式”中要求加盖公章的地方必须加盖投标人公章，要求法定代表人或其委托代理人签字的地方必须由法定代表人或其委托代理人签字。</w:t>
            </w:r>
          </w:p>
          <w:p w14:paraId="2908D160">
            <w:pPr>
              <w:autoSpaceDE w:val="0"/>
              <w:autoSpaceDN w:val="0"/>
              <w:adjustRightInd w:val="0"/>
              <w:snapToGrid w:val="0"/>
              <w:spacing w:after="0" w:line="360" w:lineRule="auto"/>
              <w:rPr>
                <w:rFonts w:hint="eastAsia" w:ascii="仿宋" w:hAnsi="仿宋" w:eastAsia="仿宋" w:cs="仿宋"/>
                <w:b/>
                <w:bCs/>
                <w:szCs w:val="21"/>
              </w:rPr>
            </w:pPr>
            <w:r>
              <w:rPr>
                <w:rFonts w:hint="eastAsia" w:ascii="仿宋" w:hAnsi="仿宋" w:eastAsia="仿宋" w:cs="仿宋"/>
                <w:b/>
                <w:bCs/>
                <w:szCs w:val="21"/>
              </w:rPr>
              <w:t>（2）文件中所有标注“签字”处均指书写签字或签名章，不得使用电脑打字输入，否则视为无效投标。</w:t>
            </w:r>
          </w:p>
        </w:tc>
      </w:tr>
      <w:tr w14:paraId="3ED680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7DDB247">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※16</w:t>
            </w:r>
          </w:p>
        </w:tc>
        <w:tc>
          <w:tcPr>
            <w:tcW w:w="1701" w:type="dxa"/>
            <w:vAlign w:val="center"/>
          </w:tcPr>
          <w:p w14:paraId="7F0D0FBA">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最高投标限价或者其计算方法</w:t>
            </w:r>
          </w:p>
        </w:tc>
        <w:tc>
          <w:tcPr>
            <w:tcW w:w="5891" w:type="dxa"/>
            <w:vAlign w:val="center"/>
          </w:tcPr>
          <w:p w14:paraId="33214CC8">
            <w:pPr>
              <w:autoSpaceDE w:val="0"/>
              <w:autoSpaceDN w:val="0"/>
              <w:adjustRightInd w:val="0"/>
              <w:snapToGrid w:val="0"/>
              <w:spacing w:after="0" w:line="360" w:lineRule="auto"/>
              <w:rPr>
                <w:rFonts w:hint="eastAsia" w:ascii="仿宋" w:hAnsi="仿宋" w:eastAsia="仿宋" w:cs="仿宋"/>
                <w:b/>
                <w:bCs/>
                <w:szCs w:val="21"/>
              </w:rPr>
            </w:pPr>
            <w:r>
              <w:rPr>
                <w:rFonts w:hint="eastAsia" w:ascii="仿宋" w:hAnsi="仿宋" w:eastAsia="仿宋" w:cs="仿宋"/>
                <w:b/>
                <w:bCs/>
                <w:szCs w:val="21"/>
              </w:rPr>
              <w:t>□不设置最高投标限价</w:t>
            </w:r>
          </w:p>
          <w:p w14:paraId="1F8B5206">
            <w:pPr>
              <w:autoSpaceDE w:val="0"/>
              <w:autoSpaceDN w:val="0"/>
              <w:adjustRightInd w:val="0"/>
              <w:snapToGrid w:val="0"/>
              <w:spacing w:after="0" w:line="360" w:lineRule="auto"/>
              <w:rPr>
                <w:rFonts w:hint="eastAsia" w:ascii="仿宋" w:hAnsi="仿宋" w:eastAsia="仿宋" w:cs="仿宋"/>
                <w:b/>
                <w:bCs/>
                <w:szCs w:val="21"/>
                <w:u w:val="single"/>
              </w:rPr>
            </w:pPr>
            <w:r>
              <w:rPr>
                <w:rFonts w:hint="eastAsia" w:ascii="仿宋" w:hAnsi="仿宋" w:eastAsia="仿宋" w:cs="仿宋"/>
                <w:b/>
                <w:bCs/>
                <w:szCs w:val="21"/>
              </w:rPr>
              <w:t>■设置最高投标限价：最高限价</w:t>
            </w:r>
            <w:r>
              <w:rPr>
                <w:rFonts w:hint="eastAsia" w:ascii="仿宋" w:hAnsi="仿宋" w:eastAsia="仿宋" w:cs="仿宋"/>
                <w:b/>
                <w:bCs/>
                <w:szCs w:val="21"/>
                <w:lang w:val="en-US" w:eastAsia="zh-CN"/>
              </w:rPr>
              <w:t>310.00</w:t>
            </w:r>
            <w:r>
              <w:rPr>
                <w:rFonts w:hint="eastAsia" w:ascii="仿宋" w:hAnsi="仿宋" w:eastAsia="仿宋" w:cs="仿宋"/>
                <w:b/>
                <w:bCs/>
                <w:szCs w:val="21"/>
              </w:rPr>
              <w:t>万元。</w:t>
            </w:r>
          </w:p>
        </w:tc>
      </w:tr>
      <w:tr w14:paraId="581D34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72" w:hRule="atLeast"/>
        </w:trPr>
        <w:tc>
          <w:tcPr>
            <w:tcW w:w="709" w:type="dxa"/>
            <w:vAlign w:val="center"/>
          </w:tcPr>
          <w:p w14:paraId="461DE323">
            <w:pPr>
              <w:autoSpaceDE w:val="0"/>
              <w:autoSpaceDN w:val="0"/>
              <w:adjustRightInd w:val="0"/>
              <w:snapToGrid w:val="0"/>
              <w:spacing w:after="0" w:line="360" w:lineRule="auto"/>
              <w:jc w:val="center"/>
              <w:rPr>
                <w:rFonts w:hint="eastAsia" w:ascii="仿宋" w:hAnsi="仿宋" w:eastAsia="仿宋" w:cs="仿宋"/>
                <w:bCs/>
                <w:szCs w:val="21"/>
              </w:rPr>
            </w:pPr>
            <w:r>
              <w:rPr>
                <w:rFonts w:hint="eastAsia" w:ascii="仿宋" w:hAnsi="仿宋" w:eastAsia="仿宋" w:cs="仿宋"/>
                <w:szCs w:val="21"/>
              </w:rPr>
              <w:t>17</w:t>
            </w:r>
          </w:p>
        </w:tc>
        <w:tc>
          <w:tcPr>
            <w:tcW w:w="1701" w:type="dxa"/>
            <w:vAlign w:val="center"/>
          </w:tcPr>
          <w:p w14:paraId="039F8F09">
            <w:pPr>
              <w:autoSpaceDE w:val="0"/>
              <w:autoSpaceDN w:val="0"/>
              <w:adjustRightInd w:val="0"/>
              <w:snapToGrid w:val="0"/>
              <w:spacing w:after="0" w:line="360" w:lineRule="auto"/>
              <w:jc w:val="center"/>
              <w:rPr>
                <w:rFonts w:hint="eastAsia" w:ascii="仿宋" w:hAnsi="仿宋" w:eastAsia="仿宋" w:cs="仿宋"/>
                <w:bCs/>
                <w:szCs w:val="21"/>
              </w:rPr>
            </w:pPr>
            <w:r>
              <w:rPr>
                <w:rFonts w:hint="eastAsia" w:ascii="仿宋" w:hAnsi="仿宋" w:eastAsia="仿宋" w:cs="仿宋"/>
                <w:bCs/>
                <w:szCs w:val="21"/>
              </w:rPr>
              <w:t>投标报价的具体要求</w:t>
            </w:r>
          </w:p>
        </w:tc>
        <w:tc>
          <w:tcPr>
            <w:tcW w:w="5891" w:type="dxa"/>
            <w:vAlign w:val="center"/>
          </w:tcPr>
          <w:p w14:paraId="1B3EED2A">
            <w:pPr>
              <w:autoSpaceDE w:val="0"/>
              <w:autoSpaceDN w:val="0"/>
              <w:adjustRightInd w:val="0"/>
              <w:snapToGrid w:val="0"/>
              <w:spacing w:after="0" w:line="360" w:lineRule="auto"/>
              <w:rPr>
                <w:rFonts w:hint="eastAsia" w:ascii="仿宋" w:hAnsi="仿宋" w:eastAsia="仿宋" w:cs="仿宋"/>
                <w:bCs/>
                <w:szCs w:val="21"/>
              </w:rPr>
            </w:pPr>
            <w:r>
              <w:rPr>
                <w:rFonts w:hint="eastAsia" w:ascii="仿宋" w:hAnsi="仿宋" w:eastAsia="仿宋" w:cs="仿宋"/>
                <w:bCs/>
                <w:szCs w:val="21"/>
              </w:rPr>
              <w:t>详见开标一览表。</w:t>
            </w:r>
          </w:p>
        </w:tc>
      </w:tr>
      <w:tr w14:paraId="4657942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1464" w:hRule="atLeast"/>
        </w:trPr>
        <w:tc>
          <w:tcPr>
            <w:tcW w:w="709" w:type="dxa"/>
            <w:vAlign w:val="center"/>
          </w:tcPr>
          <w:p w14:paraId="7365C7F4">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18</w:t>
            </w:r>
          </w:p>
        </w:tc>
        <w:tc>
          <w:tcPr>
            <w:tcW w:w="1701" w:type="dxa"/>
            <w:vAlign w:val="center"/>
          </w:tcPr>
          <w:p w14:paraId="22B4C00C">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投标报价优惠条件</w:t>
            </w:r>
          </w:p>
        </w:tc>
        <w:tc>
          <w:tcPr>
            <w:tcW w:w="5891" w:type="dxa"/>
            <w:vAlign w:val="center"/>
          </w:tcPr>
          <w:p w14:paraId="0B384F20">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□报优惠价</w:t>
            </w:r>
          </w:p>
          <w:p w14:paraId="0A402C09">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■不接受报优惠价</w:t>
            </w:r>
          </w:p>
          <w:p w14:paraId="5AE60B97">
            <w:pPr>
              <w:autoSpaceDE w:val="0"/>
              <w:autoSpaceDN w:val="0"/>
              <w:adjustRightInd w:val="0"/>
              <w:snapToGrid w:val="0"/>
              <w:spacing w:after="0" w:line="360" w:lineRule="auto"/>
              <w:rPr>
                <w:rFonts w:hint="eastAsia" w:ascii="仿宋" w:hAnsi="仿宋" w:eastAsia="仿宋" w:cs="仿宋"/>
                <w:szCs w:val="21"/>
                <w:u w:val="single"/>
              </w:rPr>
            </w:pPr>
            <w:r>
              <w:rPr>
                <w:rFonts w:hint="eastAsia" w:ascii="仿宋" w:hAnsi="仿宋" w:eastAsia="仿宋" w:cs="仿宋"/>
                <w:szCs w:val="21"/>
              </w:rPr>
              <w:t>□报优惠价的其他方式：</w:t>
            </w:r>
          </w:p>
        </w:tc>
      </w:tr>
      <w:tr w14:paraId="22BE40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23" w:hRule="atLeast"/>
        </w:trPr>
        <w:tc>
          <w:tcPr>
            <w:tcW w:w="709" w:type="dxa"/>
            <w:vAlign w:val="center"/>
          </w:tcPr>
          <w:p w14:paraId="28DB25B0">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19</w:t>
            </w:r>
          </w:p>
        </w:tc>
        <w:tc>
          <w:tcPr>
            <w:tcW w:w="1701" w:type="dxa"/>
            <w:vAlign w:val="center"/>
          </w:tcPr>
          <w:p w14:paraId="7A418708">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投标有效期</w:t>
            </w:r>
          </w:p>
        </w:tc>
        <w:tc>
          <w:tcPr>
            <w:tcW w:w="5891" w:type="dxa"/>
            <w:vAlign w:val="center"/>
          </w:tcPr>
          <w:p w14:paraId="3EE643A7">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投标有效期：</w:t>
            </w:r>
            <w:r>
              <w:rPr>
                <w:rFonts w:hint="eastAsia" w:ascii="仿宋" w:hAnsi="仿宋" w:eastAsia="仿宋" w:cs="仿宋"/>
                <w:szCs w:val="21"/>
                <w:u w:val="single"/>
              </w:rPr>
              <w:t xml:space="preserve"> 90 </w:t>
            </w:r>
            <w:r>
              <w:rPr>
                <w:rFonts w:hint="eastAsia" w:ascii="仿宋" w:hAnsi="仿宋" w:eastAsia="仿宋" w:cs="仿宋"/>
                <w:szCs w:val="21"/>
              </w:rPr>
              <w:t>天</w:t>
            </w:r>
          </w:p>
        </w:tc>
      </w:tr>
      <w:tr w14:paraId="755B13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87" w:hRule="atLeast"/>
        </w:trPr>
        <w:tc>
          <w:tcPr>
            <w:tcW w:w="709" w:type="dxa"/>
            <w:vAlign w:val="center"/>
          </w:tcPr>
          <w:p w14:paraId="77B778A3">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※20</w:t>
            </w:r>
          </w:p>
        </w:tc>
        <w:tc>
          <w:tcPr>
            <w:tcW w:w="1701" w:type="dxa"/>
            <w:vAlign w:val="center"/>
          </w:tcPr>
          <w:p w14:paraId="549BEB0B">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投标保证金金额</w:t>
            </w:r>
          </w:p>
        </w:tc>
        <w:tc>
          <w:tcPr>
            <w:tcW w:w="5891" w:type="dxa"/>
            <w:vAlign w:val="center"/>
          </w:tcPr>
          <w:p w14:paraId="7C94D923">
            <w:pPr>
              <w:autoSpaceDE w:val="0"/>
              <w:autoSpaceDN w:val="0"/>
              <w:adjustRightInd w:val="0"/>
              <w:snapToGrid w:val="0"/>
              <w:spacing w:after="0" w:line="360" w:lineRule="auto"/>
              <w:jc w:val="left"/>
              <w:rPr>
                <w:rFonts w:hint="eastAsia" w:ascii="仿宋" w:hAnsi="仿宋" w:eastAsia="仿宋" w:cs="仿宋"/>
                <w:b/>
                <w:bCs/>
                <w:szCs w:val="21"/>
                <w:u w:val="single"/>
              </w:rPr>
            </w:pPr>
            <w:r>
              <w:rPr>
                <w:rFonts w:hint="eastAsia" w:ascii="仿宋" w:hAnsi="仿宋" w:eastAsia="仿宋" w:cs="仿宋"/>
                <w:b/>
                <w:bCs/>
                <w:szCs w:val="21"/>
              </w:rPr>
              <w:t>投标保证金：</w:t>
            </w:r>
            <w:r>
              <w:rPr>
                <w:rFonts w:hint="eastAsia" w:ascii="仿宋" w:hAnsi="仿宋" w:eastAsia="仿宋" w:cs="仿宋"/>
                <w:b/>
                <w:bCs/>
                <w:szCs w:val="21"/>
                <w:u w:val="single"/>
                <w:lang w:val="en-US" w:eastAsia="zh-CN"/>
              </w:rPr>
              <w:t>60000</w:t>
            </w:r>
            <w:r>
              <w:rPr>
                <w:rFonts w:hint="eastAsia" w:ascii="仿宋" w:hAnsi="仿宋" w:eastAsia="仿宋" w:cs="仿宋"/>
                <w:b/>
                <w:bCs/>
                <w:szCs w:val="21"/>
                <w:u w:val="single"/>
              </w:rPr>
              <w:t>.00元（大写：</w:t>
            </w:r>
            <w:r>
              <w:rPr>
                <w:rFonts w:hint="eastAsia" w:ascii="仿宋" w:hAnsi="仿宋" w:eastAsia="仿宋" w:cs="仿宋"/>
                <w:b/>
                <w:bCs/>
                <w:szCs w:val="21"/>
                <w:u w:val="single"/>
                <w:lang w:val="en-US" w:eastAsia="zh-CN"/>
              </w:rPr>
              <w:t>陆</w:t>
            </w:r>
            <w:r>
              <w:rPr>
                <w:rFonts w:hint="eastAsia" w:ascii="仿宋" w:hAnsi="仿宋" w:eastAsia="仿宋" w:cs="仿宋"/>
                <w:b/>
                <w:bCs/>
                <w:szCs w:val="21"/>
                <w:u w:val="single"/>
              </w:rPr>
              <w:t>万</w:t>
            </w:r>
            <w:r>
              <w:rPr>
                <w:rFonts w:hint="eastAsia" w:ascii="仿宋" w:hAnsi="仿宋" w:eastAsia="仿宋" w:cs="仿宋"/>
                <w:b/>
                <w:bCs/>
                <w:szCs w:val="21"/>
                <w:u w:val="single"/>
                <w:lang w:val="en-US" w:eastAsia="zh-CN"/>
              </w:rPr>
              <w:t>元</w:t>
            </w:r>
            <w:r>
              <w:rPr>
                <w:rFonts w:hint="eastAsia" w:ascii="仿宋" w:hAnsi="仿宋" w:eastAsia="仿宋" w:cs="仿宋"/>
                <w:b/>
                <w:bCs/>
                <w:szCs w:val="21"/>
                <w:u w:val="single"/>
              </w:rPr>
              <w:t>）</w:t>
            </w:r>
          </w:p>
        </w:tc>
      </w:tr>
      <w:tr w14:paraId="37576D7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41FE115B">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※21</w:t>
            </w:r>
          </w:p>
        </w:tc>
        <w:tc>
          <w:tcPr>
            <w:tcW w:w="1701" w:type="dxa"/>
            <w:vAlign w:val="center"/>
          </w:tcPr>
          <w:p w14:paraId="4AECB62F">
            <w:pPr>
              <w:autoSpaceDE w:val="0"/>
              <w:autoSpaceDN w:val="0"/>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投标保证金形式</w:t>
            </w:r>
          </w:p>
        </w:tc>
        <w:tc>
          <w:tcPr>
            <w:tcW w:w="5891" w:type="dxa"/>
            <w:vAlign w:val="center"/>
          </w:tcPr>
          <w:p w14:paraId="76161904">
            <w:pPr>
              <w:autoSpaceDE w:val="0"/>
              <w:autoSpaceDN w:val="0"/>
              <w:adjustRightInd w:val="0"/>
              <w:snapToGrid w:val="0"/>
              <w:spacing w:after="0" w:line="360" w:lineRule="auto"/>
              <w:rPr>
                <w:rFonts w:hint="eastAsia" w:ascii="仿宋" w:hAnsi="仿宋" w:eastAsia="仿宋" w:cs="仿宋"/>
                <w:b/>
                <w:bCs/>
                <w:szCs w:val="21"/>
              </w:rPr>
            </w:pPr>
            <w:r>
              <w:rPr>
                <w:rFonts w:hint="eastAsia" w:ascii="仿宋" w:hAnsi="仿宋" w:eastAsia="仿宋" w:cs="仿宋"/>
                <w:b/>
                <w:bCs/>
                <w:szCs w:val="21"/>
              </w:rPr>
              <w:t>1、保证金可以通过转账、支票、汇票、本票、金融机构或担保机构出具的保函（保单）等非现金形式提交。投标单位采取转账方式提交的保证金必须通过其开户银行基本账户转入交易中心（平台）在银行开设的投标保证金专户，投标单位必须以本单位的名义提交投标保证金，不得以分支机构或其他机构的名义提交。</w:t>
            </w:r>
          </w:p>
          <w:p w14:paraId="48CA9687">
            <w:pPr>
              <w:autoSpaceDE w:val="0"/>
              <w:autoSpaceDN w:val="0"/>
              <w:adjustRightInd w:val="0"/>
              <w:snapToGrid w:val="0"/>
              <w:spacing w:after="0" w:line="360" w:lineRule="auto"/>
              <w:rPr>
                <w:rFonts w:hint="eastAsia" w:ascii="仿宋" w:hAnsi="仿宋" w:eastAsia="仿宋" w:cs="仿宋"/>
                <w:b/>
                <w:bCs/>
                <w:szCs w:val="21"/>
              </w:rPr>
            </w:pPr>
            <w:r>
              <w:rPr>
                <w:rFonts w:hint="eastAsia" w:ascii="仿宋" w:hAnsi="仿宋" w:eastAsia="仿宋" w:cs="仿宋"/>
                <w:b/>
                <w:bCs/>
                <w:szCs w:val="21"/>
              </w:rPr>
              <w:t>2、投标单位在编制响应文件时，按照招标文件规定，在投标截止时间前登录金融服务系统办理保证金缴纳业务，缴纳成功后，可自助打印缴纳凭证；须将保证金缴纳凭证编制在投标文件中。</w:t>
            </w:r>
          </w:p>
          <w:p w14:paraId="1EFD9E6C">
            <w:pPr>
              <w:autoSpaceDE w:val="0"/>
              <w:autoSpaceDN w:val="0"/>
              <w:adjustRightInd w:val="0"/>
              <w:snapToGrid w:val="0"/>
              <w:spacing w:after="0" w:line="360" w:lineRule="auto"/>
              <w:rPr>
                <w:rFonts w:hint="eastAsia" w:ascii="仿宋" w:hAnsi="仿宋" w:eastAsia="仿宋" w:cs="仿宋"/>
                <w:b/>
                <w:bCs/>
                <w:szCs w:val="21"/>
              </w:rPr>
            </w:pPr>
            <w:r>
              <w:rPr>
                <w:rFonts w:hint="eastAsia" w:ascii="仿宋" w:hAnsi="仿宋" w:eastAsia="仿宋" w:cs="仿宋"/>
                <w:b/>
                <w:bCs/>
                <w:szCs w:val="21"/>
              </w:rPr>
              <w:t>投标保证金有效期与投标有效期一致。</w:t>
            </w:r>
          </w:p>
          <w:p w14:paraId="02B365DC">
            <w:pPr>
              <w:autoSpaceDE w:val="0"/>
              <w:autoSpaceDN w:val="0"/>
              <w:adjustRightInd w:val="0"/>
              <w:snapToGrid w:val="0"/>
              <w:spacing w:after="0" w:line="360" w:lineRule="auto"/>
              <w:rPr>
                <w:rFonts w:hint="eastAsia" w:ascii="仿宋" w:hAnsi="仿宋" w:eastAsia="仿宋" w:cs="仿宋"/>
                <w:b/>
                <w:bCs/>
                <w:szCs w:val="21"/>
              </w:rPr>
            </w:pPr>
          </w:p>
        </w:tc>
      </w:tr>
      <w:tr w14:paraId="64060C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810" w:hRule="atLeast"/>
        </w:trPr>
        <w:tc>
          <w:tcPr>
            <w:tcW w:w="709" w:type="dxa"/>
            <w:vAlign w:val="center"/>
          </w:tcPr>
          <w:p w14:paraId="300FE93E">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22</w:t>
            </w:r>
          </w:p>
        </w:tc>
        <w:tc>
          <w:tcPr>
            <w:tcW w:w="1701" w:type="dxa"/>
            <w:vAlign w:val="center"/>
          </w:tcPr>
          <w:p w14:paraId="6D73CD08">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备选方案</w:t>
            </w:r>
          </w:p>
        </w:tc>
        <w:tc>
          <w:tcPr>
            <w:tcW w:w="5891" w:type="dxa"/>
            <w:vAlign w:val="center"/>
          </w:tcPr>
          <w:p w14:paraId="0E8DA020">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■不允许</w:t>
            </w:r>
          </w:p>
          <w:p w14:paraId="6A44949C">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□允许</w:t>
            </w:r>
          </w:p>
        </w:tc>
      </w:tr>
      <w:tr w14:paraId="4979C1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11" w:hRule="atLeast"/>
        </w:trPr>
        <w:tc>
          <w:tcPr>
            <w:tcW w:w="709" w:type="dxa"/>
            <w:vAlign w:val="center"/>
          </w:tcPr>
          <w:p w14:paraId="570FC198">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23</w:t>
            </w:r>
          </w:p>
        </w:tc>
        <w:tc>
          <w:tcPr>
            <w:tcW w:w="1701" w:type="dxa"/>
            <w:vAlign w:val="center"/>
          </w:tcPr>
          <w:p w14:paraId="1282CAB9">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投标文件递交截止时间</w:t>
            </w:r>
          </w:p>
        </w:tc>
        <w:tc>
          <w:tcPr>
            <w:tcW w:w="5891" w:type="dxa"/>
            <w:vAlign w:val="center"/>
          </w:tcPr>
          <w:p w14:paraId="3EA7E144">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详见招标公告</w:t>
            </w:r>
          </w:p>
        </w:tc>
      </w:tr>
      <w:tr w14:paraId="2781A1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5EF49C29">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24</w:t>
            </w:r>
          </w:p>
        </w:tc>
        <w:tc>
          <w:tcPr>
            <w:tcW w:w="1701" w:type="dxa"/>
            <w:vAlign w:val="center"/>
          </w:tcPr>
          <w:p w14:paraId="6917AF4D">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投标文件递交地点</w:t>
            </w:r>
          </w:p>
        </w:tc>
        <w:tc>
          <w:tcPr>
            <w:tcW w:w="5891" w:type="dxa"/>
            <w:vAlign w:val="center"/>
          </w:tcPr>
          <w:p w14:paraId="4CAD1814">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详见招标公告</w:t>
            </w:r>
          </w:p>
        </w:tc>
      </w:tr>
      <w:tr w14:paraId="01793E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33298DA4">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25</w:t>
            </w:r>
          </w:p>
        </w:tc>
        <w:tc>
          <w:tcPr>
            <w:tcW w:w="1701" w:type="dxa"/>
            <w:vAlign w:val="center"/>
          </w:tcPr>
          <w:p w14:paraId="5C2BA7B1">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开标时间和地点</w:t>
            </w:r>
          </w:p>
        </w:tc>
        <w:tc>
          <w:tcPr>
            <w:tcW w:w="5891" w:type="dxa"/>
            <w:vAlign w:val="center"/>
          </w:tcPr>
          <w:p w14:paraId="11CD0659">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同投标文件递交截止时间和地点。</w:t>
            </w:r>
          </w:p>
        </w:tc>
      </w:tr>
      <w:tr w14:paraId="55A722E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34D6724">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26</w:t>
            </w:r>
          </w:p>
        </w:tc>
        <w:tc>
          <w:tcPr>
            <w:tcW w:w="1701" w:type="dxa"/>
            <w:vAlign w:val="center"/>
          </w:tcPr>
          <w:p w14:paraId="6B7A8653">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评标委员会组成人数</w:t>
            </w:r>
          </w:p>
        </w:tc>
        <w:tc>
          <w:tcPr>
            <w:tcW w:w="5891" w:type="dxa"/>
          </w:tcPr>
          <w:p w14:paraId="568016F9">
            <w:pPr>
              <w:pStyle w:val="21"/>
              <w:tabs>
                <w:tab w:val="left" w:pos="2309"/>
                <w:tab w:val="left" w:pos="2729"/>
                <w:tab w:val="left" w:pos="3826"/>
              </w:tabs>
              <w:adjustRightInd w:val="0"/>
              <w:snapToGrid w:val="0"/>
              <w:spacing w:line="360" w:lineRule="auto"/>
              <w:rPr>
                <w:rFonts w:hint="eastAsia" w:ascii="仿宋" w:hAnsi="仿宋" w:eastAsia="仿宋" w:cs="仿宋"/>
                <w:spacing w:val="-3"/>
                <w:sz w:val="21"/>
                <w:szCs w:val="21"/>
                <w:lang w:eastAsia="zh-CN"/>
              </w:rPr>
            </w:pPr>
            <w:r>
              <w:rPr>
                <w:rFonts w:hint="eastAsia" w:ascii="仿宋" w:hAnsi="仿宋" w:eastAsia="仿宋" w:cs="仿宋"/>
                <w:sz w:val="21"/>
                <w:szCs w:val="21"/>
                <w:lang w:eastAsia="zh-CN"/>
              </w:rPr>
              <w:t>评标委员会构成：</w:t>
            </w:r>
            <w:r>
              <w:rPr>
                <w:rFonts w:hint="eastAsia" w:ascii="仿宋" w:hAnsi="仿宋" w:eastAsia="仿宋" w:cs="仿宋"/>
                <w:sz w:val="21"/>
                <w:szCs w:val="21"/>
                <w:u w:val="single"/>
                <w:lang w:eastAsia="zh-CN"/>
              </w:rPr>
              <w:t xml:space="preserve"> 5 </w:t>
            </w:r>
            <w:r>
              <w:rPr>
                <w:rFonts w:hint="eastAsia" w:ascii="仿宋" w:hAnsi="仿宋" w:eastAsia="仿宋" w:cs="仿宋"/>
                <w:sz w:val="21"/>
                <w:szCs w:val="21"/>
                <w:lang w:eastAsia="zh-CN"/>
              </w:rPr>
              <w:t>人。评标委员会成员由采购人代表、技术经济类专家组成。若采购人指派代表参与评审时，被指派的采购人代表须持有采购人出具的授权书。</w:t>
            </w:r>
          </w:p>
          <w:p w14:paraId="0AFE3796">
            <w:pPr>
              <w:pStyle w:val="21"/>
              <w:tabs>
                <w:tab w:val="left" w:pos="2309"/>
                <w:tab w:val="left" w:pos="2729"/>
                <w:tab w:val="left" w:pos="3826"/>
              </w:tabs>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评标专家确定方式：</w:t>
            </w:r>
            <w:r>
              <w:rPr>
                <w:rFonts w:hint="eastAsia" w:ascii="仿宋" w:hAnsi="仿宋" w:eastAsia="仿宋" w:cs="仿宋"/>
                <w:sz w:val="21"/>
                <w:szCs w:val="21"/>
                <w:u w:val="single"/>
                <w:lang w:eastAsia="zh-CN"/>
              </w:rPr>
              <w:t>随机抽取方式确定</w:t>
            </w:r>
            <w:r>
              <w:rPr>
                <w:rFonts w:hint="eastAsia" w:ascii="仿宋" w:hAnsi="仿宋" w:eastAsia="仿宋" w:cs="仿宋"/>
                <w:sz w:val="21"/>
                <w:szCs w:val="21"/>
                <w:lang w:eastAsia="zh-CN"/>
              </w:rPr>
              <w:t>。</w:t>
            </w:r>
          </w:p>
        </w:tc>
      </w:tr>
      <w:tr w14:paraId="51BC7B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574" w:hRule="atLeast"/>
        </w:trPr>
        <w:tc>
          <w:tcPr>
            <w:tcW w:w="709" w:type="dxa"/>
            <w:vAlign w:val="center"/>
          </w:tcPr>
          <w:p w14:paraId="07F2AE3F">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27</w:t>
            </w:r>
          </w:p>
        </w:tc>
        <w:tc>
          <w:tcPr>
            <w:tcW w:w="1701" w:type="dxa"/>
            <w:vAlign w:val="center"/>
          </w:tcPr>
          <w:p w14:paraId="04134E74">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评标方法</w:t>
            </w:r>
          </w:p>
        </w:tc>
        <w:tc>
          <w:tcPr>
            <w:tcW w:w="5891" w:type="dxa"/>
            <w:vAlign w:val="center"/>
          </w:tcPr>
          <w:p w14:paraId="73B56804">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□最低评标价法</w:t>
            </w:r>
          </w:p>
          <w:p w14:paraId="11646448">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■综合评分法</w:t>
            </w:r>
          </w:p>
          <w:p w14:paraId="5367D753">
            <w:pPr>
              <w:autoSpaceDE w:val="0"/>
              <w:autoSpaceDN w:val="0"/>
              <w:adjustRightInd w:val="0"/>
              <w:snapToGrid w:val="0"/>
              <w:spacing w:after="0" w:line="360" w:lineRule="auto"/>
              <w:rPr>
                <w:rFonts w:hint="eastAsia" w:ascii="仿宋" w:hAnsi="仿宋" w:eastAsia="仿宋" w:cs="仿宋"/>
                <w:szCs w:val="21"/>
                <w:u w:val="single"/>
              </w:rPr>
            </w:pPr>
            <w:r>
              <w:rPr>
                <w:rFonts w:hint="eastAsia" w:ascii="仿宋" w:hAnsi="仿宋" w:eastAsia="仿宋" w:cs="仿宋"/>
                <w:szCs w:val="21"/>
              </w:rPr>
              <w:t>□其他：</w:t>
            </w:r>
            <w:r>
              <w:rPr>
                <w:rFonts w:hint="eastAsia" w:ascii="仿宋" w:hAnsi="仿宋" w:eastAsia="仿宋" w:cs="仿宋"/>
                <w:szCs w:val="21"/>
                <w:u w:val="single"/>
              </w:rPr>
              <w:t xml:space="preserve">           </w:t>
            </w:r>
          </w:p>
        </w:tc>
      </w:tr>
      <w:tr w14:paraId="6EE3DCF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46E22EC2">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28</w:t>
            </w:r>
          </w:p>
        </w:tc>
        <w:tc>
          <w:tcPr>
            <w:tcW w:w="1701" w:type="dxa"/>
            <w:vAlign w:val="center"/>
          </w:tcPr>
          <w:p w14:paraId="6E28B32C">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中标候选人推荐原则</w:t>
            </w:r>
          </w:p>
        </w:tc>
        <w:tc>
          <w:tcPr>
            <w:tcW w:w="5891" w:type="dxa"/>
            <w:vAlign w:val="center"/>
          </w:tcPr>
          <w:p w14:paraId="2A6E9200">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按照综合评分由高到低的顺序推荐综合排名前三名的单位为中标候选人。综合评分相同的，优先选择价格得分高的供应商为中标候选人；以上都相同的，优先选择商务得分高的供应商为中标候选人；以上都相同的，随机选取中标候选人。</w:t>
            </w:r>
          </w:p>
        </w:tc>
      </w:tr>
      <w:tr w14:paraId="56A25C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36A00CAD">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29</w:t>
            </w:r>
          </w:p>
        </w:tc>
        <w:tc>
          <w:tcPr>
            <w:tcW w:w="1701" w:type="dxa"/>
            <w:vAlign w:val="center"/>
          </w:tcPr>
          <w:p w14:paraId="35131DE4">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中标人确定</w:t>
            </w:r>
          </w:p>
        </w:tc>
        <w:tc>
          <w:tcPr>
            <w:tcW w:w="5891" w:type="dxa"/>
            <w:vAlign w:val="center"/>
          </w:tcPr>
          <w:p w14:paraId="396E93E3">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□采购人授权评标委员会直接确定中标人，中标人数量：</w:t>
            </w:r>
            <w:r>
              <w:rPr>
                <w:rFonts w:hint="eastAsia" w:ascii="仿宋" w:hAnsi="仿宋" w:eastAsia="仿宋" w:cs="仿宋"/>
                <w:szCs w:val="21"/>
                <w:u w:val="single"/>
              </w:rPr>
              <w:t xml:space="preserve">  </w:t>
            </w:r>
            <w:r>
              <w:rPr>
                <w:rFonts w:hint="eastAsia" w:ascii="仿宋" w:hAnsi="仿宋" w:eastAsia="仿宋" w:cs="仿宋"/>
                <w:szCs w:val="21"/>
              </w:rPr>
              <w:t>人</w:t>
            </w:r>
          </w:p>
          <w:p w14:paraId="622C400F">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■采购人确定中标人，中标人数量：每标段</w:t>
            </w:r>
            <w:r>
              <w:rPr>
                <w:rFonts w:hint="eastAsia" w:ascii="仿宋" w:hAnsi="仿宋" w:eastAsia="仿宋" w:cs="仿宋"/>
                <w:szCs w:val="21"/>
                <w:u w:val="single"/>
              </w:rPr>
              <w:t xml:space="preserve"> 1 </w:t>
            </w:r>
            <w:r>
              <w:rPr>
                <w:rFonts w:hint="eastAsia" w:ascii="仿宋" w:hAnsi="仿宋" w:eastAsia="仿宋" w:cs="仿宋"/>
                <w:szCs w:val="21"/>
              </w:rPr>
              <w:t>人。</w:t>
            </w:r>
          </w:p>
        </w:tc>
      </w:tr>
      <w:tr w14:paraId="3C4EA2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709" w:type="dxa"/>
            <w:vAlign w:val="center"/>
          </w:tcPr>
          <w:p w14:paraId="2DB298C5">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30</w:t>
            </w:r>
          </w:p>
        </w:tc>
        <w:tc>
          <w:tcPr>
            <w:tcW w:w="1701" w:type="dxa"/>
            <w:vAlign w:val="center"/>
          </w:tcPr>
          <w:p w14:paraId="379B97EE">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中标原则</w:t>
            </w:r>
          </w:p>
        </w:tc>
        <w:tc>
          <w:tcPr>
            <w:tcW w:w="5891" w:type="dxa"/>
            <w:vAlign w:val="center"/>
          </w:tcPr>
          <w:p w14:paraId="6720618C">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甲方在收到评审报告5个工作日内，按照评审委员会推荐的中标候选人顺序确定排名第一的中标候选人为中标人，份额分配为100%。在签订合同之前，中标人放弃中标或者不能履行合同的，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604B1AC3">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综合评分相同的，优先选择不发达地区或少数民族地区的供应商为中标候选人；以上都相同的，优先选择价格得分高的供应商为中标候选人；以上都相同的，优先选择商务得分高的供应商为中标候选人；以上都相同的，随机选取中标候选人。</w:t>
            </w:r>
          </w:p>
        </w:tc>
      </w:tr>
      <w:tr w14:paraId="145705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2FABA630">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31</w:t>
            </w:r>
          </w:p>
        </w:tc>
        <w:tc>
          <w:tcPr>
            <w:tcW w:w="1701" w:type="dxa"/>
            <w:vAlign w:val="center"/>
          </w:tcPr>
          <w:p w14:paraId="671354A1">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履约保证金金额和形式</w:t>
            </w:r>
          </w:p>
        </w:tc>
        <w:tc>
          <w:tcPr>
            <w:tcW w:w="5891" w:type="dxa"/>
            <w:vAlign w:val="center"/>
          </w:tcPr>
          <w:p w14:paraId="6BA2927B">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履约保证金金额：不超过中标金额的10%（具体以合同签订为准）。</w:t>
            </w:r>
          </w:p>
          <w:p w14:paraId="56DA6B66">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履约保证金形式：以支票、汇票、本票或者金融机构、担保机构出具的保函等非现金形式。</w:t>
            </w:r>
          </w:p>
        </w:tc>
      </w:tr>
      <w:tr w14:paraId="22685F5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709" w:type="dxa"/>
            <w:vAlign w:val="center"/>
          </w:tcPr>
          <w:p w14:paraId="697A79A7">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32</w:t>
            </w:r>
          </w:p>
        </w:tc>
        <w:tc>
          <w:tcPr>
            <w:tcW w:w="1701" w:type="dxa"/>
            <w:vAlign w:val="center"/>
          </w:tcPr>
          <w:p w14:paraId="1A99F56E">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招标代理服务费</w:t>
            </w:r>
          </w:p>
        </w:tc>
        <w:tc>
          <w:tcPr>
            <w:tcW w:w="5891" w:type="dxa"/>
            <w:vAlign w:val="center"/>
          </w:tcPr>
          <w:p w14:paraId="1F6936CF">
            <w:pPr>
              <w:pStyle w:val="4"/>
              <w:adjustRightInd w:val="0"/>
              <w:snapToGrid w:val="0"/>
              <w:spacing w:before="0" w:after="0" w:line="360" w:lineRule="auto"/>
              <w:rPr>
                <w:rFonts w:hint="eastAsia" w:ascii="仿宋" w:hAnsi="仿宋" w:eastAsia="仿宋" w:cs="仿宋"/>
              </w:rPr>
            </w:pPr>
            <w:r>
              <w:rPr>
                <w:rFonts w:hint="eastAsia" w:ascii="仿宋" w:hAnsi="仿宋" w:eastAsia="仿宋" w:cs="仿宋"/>
                <w:sz w:val="21"/>
                <w:szCs w:val="21"/>
              </w:rPr>
              <w:t>招标代理服务费：招标代理服务费的缴纳方式（中标人缴纳）：按照《国家发改委关于进一步放开建设项目专业服务价格的通知》（发改价格【2015】299号）文件收费标准，一次性支付招标代理服务费，招标代理服务费为成交价的1.5%，由中标单位向招标代理机构支付。</w:t>
            </w:r>
          </w:p>
        </w:tc>
      </w:tr>
      <w:tr w14:paraId="31569B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191F6D85">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33</w:t>
            </w:r>
          </w:p>
        </w:tc>
        <w:tc>
          <w:tcPr>
            <w:tcW w:w="1701" w:type="dxa"/>
            <w:vAlign w:val="center"/>
          </w:tcPr>
          <w:p w14:paraId="65B94F05">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电子招投标流程注意事项</w:t>
            </w:r>
          </w:p>
        </w:tc>
        <w:tc>
          <w:tcPr>
            <w:tcW w:w="5891" w:type="dxa"/>
            <w:vAlign w:val="center"/>
          </w:tcPr>
          <w:p w14:paraId="11196C81">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各投标人须在投标截止时间前上传加密的电子投标文件至“西藏自治区公共资源交易平台”。CA锁可在西藏自治区公共资源交易平台“服务中心”栏查询办理流程。</w:t>
            </w:r>
          </w:p>
          <w:p w14:paraId="176443BE">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本项目采用不见面开标方式，投标人在规定的投标截止时间在西藏自治区公共资源交易平台不见面开标大厅，可登录西藏自治区公 共资源交易平台访问)应保持在线状态，开标过程中需投标人使用CA锁进行投标文件在线解密。各投标人未在投标截止时间前上传电子投标文件的，视为自动放弃投标。开标现场，只对电子投标文件进行开标。投标人因系统或网络问题无法上传电子投标文件时，请及时拨打系统后台技术人员联系电话（0891-6040053/0891-6040040）。</w:t>
            </w:r>
          </w:p>
          <w:p w14:paraId="7C87904F">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1.本项目采用电子评标（网上评标），只对电子投标文件进行评审。</w:t>
            </w:r>
          </w:p>
          <w:p w14:paraId="77B8210E">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2.定义：</w:t>
            </w:r>
          </w:p>
          <w:p w14:paraId="6DD907C0">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电子投标文件是指通过投标客户端编制的投标文件。在电子投标文件中，涉及“加盖单位公章”的内容应使用单位电子公章完成，并加密后完成上传（或将签字页先进行签字、盖章、扫描后，导入加密电子投标文件）。</w:t>
            </w:r>
          </w:p>
          <w:p w14:paraId="3A0B3FB8">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3.开标时，投标人应当使用CA锁在招标文件规定的时间内完成投标文件在线解密。</w:t>
            </w:r>
          </w:p>
          <w:p w14:paraId="5C985022">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4.开标时出现下列情况的，将视为逾期送达或者未按照招标文件要求密封的投标文件，招标人、招标代理机构应当拒收。</w:t>
            </w:r>
          </w:p>
          <w:p w14:paraId="5A46FD78">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（1）投标人未在规定时间内完成电子投标文件在线解密。</w:t>
            </w:r>
          </w:p>
          <w:p w14:paraId="7076CB9E">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（2）经检查数字证书无效的投标文件。</w:t>
            </w:r>
          </w:p>
          <w:p w14:paraId="186E633D">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（3）投标人自身原因造成电子投标文件未能解密的。</w:t>
            </w:r>
          </w:p>
          <w:p w14:paraId="5DE1D1EE">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5.本项目的投标人必须在开始开标后完成所投全部标段的电子投标文件在线解密。投标人必须保证在规定时间内完成全部标段的电子投标文件解密。</w:t>
            </w:r>
          </w:p>
          <w:p w14:paraId="3B3F8F32">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6.电子投标文件签字、盖章要求:</w:t>
            </w:r>
          </w:p>
          <w:p w14:paraId="1065550C">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（1）签字、盖章位置及要求应符合“第六章 投标文件格式”规定。</w:t>
            </w:r>
          </w:p>
          <w:p w14:paraId="1A7C65B5">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（2）“第六章 投标文件格式”中要求签字、盖章之处应当使用单位电子公章进行签字、盖章（或将签字页先进行签字、盖章、扫描后，导入加密电子投标文件）。涉及到委托代理人签字的可将文件签字页先进行签字、扫描后导入加密电子投标文件；不能使用电脑打印体签字，否则视为无效投标。</w:t>
            </w:r>
          </w:p>
        </w:tc>
      </w:tr>
      <w:tr w14:paraId="4309C0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628575CA">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35</w:t>
            </w:r>
          </w:p>
        </w:tc>
        <w:tc>
          <w:tcPr>
            <w:tcW w:w="1701" w:type="dxa"/>
            <w:vAlign w:val="center"/>
          </w:tcPr>
          <w:p w14:paraId="3504ACF6">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对应中小企业划分标准所属行业</w:t>
            </w:r>
          </w:p>
        </w:tc>
        <w:tc>
          <w:tcPr>
            <w:tcW w:w="5891" w:type="dxa"/>
            <w:vAlign w:val="center"/>
          </w:tcPr>
          <w:p w14:paraId="0F6C2666">
            <w:pPr>
              <w:widowControl/>
              <w:jc w:val="left"/>
              <w:rPr>
                <w:rFonts w:hint="eastAsia" w:ascii="仿宋" w:hAnsi="仿宋" w:eastAsia="仿宋" w:cs="仿宋"/>
                <w:szCs w:val="21"/>
              </w:rPr>
            </w:pPr>
            <w:r>
              <w:rPr>
                <w:rFonts w:hint="eastAsia" w:ascii="仿宋" w:hAnsi="仿宋" w:eastAsia="仿宋" w:cs="仿宋"/>
                <w:kern w:val="0"/>
                <w:szCs w:val="21"/>
                <w:lang w:bidi="ar"/>
              </w:rPr>
              <w:t>所属行业：其他服务业</w:t>
            </w:r>
          </w:p>
        </w:tc>
      </w:tr>
      <w:tr w14:paraId="75A539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709" w:type="dxa"/>
            <w:vAlign w:val="center"/>
          </w:tcPr>
          <w:p w14:paraId="6819272E">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36</w:t>
            </w:r>
          </w:p>
        </w:tc>
        <w:tc>
          <w:tcPr>
            <w:tcW w:w="1701" w:type="dxa"/>
            <w:vAlign w:val="center"/>
          </w:tcPr>
          <w:p w14:paraId="280110F7">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低于成本价不正当竞争预防措施</w:t>
            </w:r>
          </w:p>
        </w:tc>
        <w:tc>
          <w:tcPr>
            <w:tcW w:w="5891" w:type="dxa"/>
            <w:vAlign w:val="center"/>
          </w:tcPr>
          <w:p w14:paraId="4D02759F">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在评标过程中，评审委员会认为投标供应商的报价明显低于其他通过符合性审查投标供应商的报价，有可能影响产品质量或者不能诚信履约的，评标委员会应当要求其在评标现场合理的时间内提供成本构成书面说明，并提交相关证明材料。</w:t>
            </w:r>
          </w:p>
          <w:p w14:paraId="2EE4374B">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政府采购评审中出现下列情形之一的，评审委员会应当启动异常低价投标（响应）审查程序：</w:t>
            </w:r>
          </w:p>
          <w:p w14:paraId="21FC8148">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1.投标（响应）报价低于全部通过符合性审查供应商投标（响应）报价平均值65%的，即投标（响应）报价&lt;全部通过符合性审查供应商投标（响应）报价平均值×65%；</w:t>
            </w:r>
          </w:p>
          <w:p w14:paraId="64675A6E">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2.投标（响应）报价低于通过符合性审查的次低报价供应商投标（响应）报价65%的，即投标（响应）报价&lt;通过符合性审查的次低报价供应商投标（响应）报价×65%；</w:t>
            </w:r>
          </w:p>
          <w:p w14:paraId="3870531E">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3.投标（响应）报价低于采购项目最高限价65%的，即投标（响应）报价&lt;采购项目最高限价×65%；</w:t>
            </w:r>
          </w:p>
          <w:p w14:paraId="05CECE2C">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4.评审委员会基于专业判断，认为供应商报价过低，有可能影响产品质量或者不能诚信履约的其他情形。</w:t>
            </w:r>
          </w:p>
          <w:p w14:paraId="19170C33">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13C6E6AC">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4B03FCF5">
            <w:pPr>
              <w:autoSpaceDE w:val="0"/>
              <w:autoSpaceDN w:val="0"/>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rPr>
              <w:t>注：异常低价处理办法按照《财政部关于推动解决政府采购异常低价问题的通知》财库[2026]2号执行。</w:t>
            </w:r>
          </w:p>
        </w:tc>
      </w:tr>
      <w:tr w14:paraId="167420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762" w:hRule="atLeast"/>
        </w:trPr>
        <w:tc>
          <w:tcPr>
            <w:tcW w:w="709" w:type="dxa"/>
            <w:vAlign w:val="center"/>
          </w:tcPr>
          <w:p w14:paraId="5EAB3CCA">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37</w:t>
            </w:r>
          </w:p>
        </w:tc>
        <w:tc>
          <w:tcPr>
            <w:tcW w:w="1701" w:type="dxa"/>
            <w:vAlign w:val="center"/>
          </w:tcPr>
          <w:p w14:paraId="6A48048C">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需要补充的其他内容</w:t>
            </w:r>
          </w:p>
        </w:tc>
        <w:tc>
          <w:tcPr>
            <w:tcW w:w="5891" w:type="dxa"/>
            <w:vAlign w:val="center"/>
          </w:tcPr>
          <w:p w14:paraId="67E34FAA">
            <w:pPr>
              <w:autoSpaceDE w:val="0"/>
              <w:autoSpaceDN w:val="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本表编列内容中出现“■”及“□”符号时，以“■”表示的内容为准。</w:t>
            </w:r>
          </w:p>
        </w:tc>
      </w:tr>
      <w:tr w14:paraId="3526A5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61" w:hRule="atLeast"/>
        </w:trPr>
        <w:tc>
          <w:tcPr>
            <w:tcW w:w="709" w:type="dxa"/>
            <w:vAlign w:val="center"/>
          </w:tcPr>
          <w:p w14:paraId="00164041">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38</w:t>
            </w:r>
          </w:p>
        </w:tc>
        <w:tc>
          <w:tcPr>
            <w:tcW w:w="1701" w:type="dxa"/>
            <w:vAlign w:val="center"/>
          </w:tcPr>
          <w:p w14:paraId="70ABA1F3">
            <w:pPr>
              <w:autoSpaceDE w:val="0"/>
              <w:autoSpaceDN w:val="0"/>
              <w:adjustRightInd w:val="0"/>
              <w:snapToGrid w:val="0"/>
              <w:spacing w:after="0" w:line="360" w:lineRule="auto"/>
              <w:jc w:val="center"/>
              <w:rPr>
                <w:rFonts w:hint="eastAsia" w:ascii="仿宋" w:hAnsi="仿宋" w:eastAsia="仿宋" w:cs="仿宋"/>
                <w:color w:val="auto"/>
                <w:szCs w:val="21"/>
              </w:rPr>
            </w:pPr>
            <w:r>
              <w:rPr>
                <w:rFonts w:hint="eastAsia" w:ascii="仿宋" w:hAnsi="仿宋" w:eastAsia="仿宋" w:cs="仿宋"/>
                <w:color w:val="auto"/>
                <w:szCs w:val="21"/>
              </w:rPr>
              <w:t>付款方式</w:t>
            </w:r>
          </w:p>
        </w:tc>
        <w:tc>
          <w:tcPr>
            <w:tcW w:w="5891" w:type="dxa"/>
            <w:vAlign w:val="center"/>
          </w:tcPr>
          <w:p w14:paraId="0370EB28">
            <w:pPr>
              <w:autoSpaceDE w:val="0"/>
              <w:autoSpaceDN w:val="0"/>
              <w:adjustRightInd w:val="0"/>
              <w:snapToGrid w:val="0"/>
              <w:spacing w:after="0" w:line="360" w:lineRule="auto"/>
              <w:rPr>
                <w:rFonts w:hint="eastAsia" w:ascii="仿宋" w:hAnsi="仿宋" w:eastAsia="仿宋" w:cs="仿宋"/>
                <w:color w:val="auto"/>
                <w:szCs w:val="21"/>
              </w:rPr>
            </w:pPr>
            <w:r>
              <w:rPr>
                <w:rFonts w:ascii="仿宋" w:hAnsi="仿宋" w:eastAsia="仿宋" w:cs="仿宋"/>
                <w:color w:val="auto"/>
                <w:szCs w:val="21"/>
              </w:rPr>
              <w:t>第一阶段，签订合同、完成进场、资料收集工作后，甲方在收到等额有效发票后的10天内支付合同总额</w:t>
            </w:r>
            <w:r>
              <w:rPr>
                <w:rFonts w:hint="eastAsia" w:ascii="仿宋" w:hAnsi="仿宋" w:eastAsia="仿宋" w:cs="仿宋"/>
                <w:color w:val="auto"/>
                <w:szCs w:val="21"/>
                <w:lang w:val="en-US" w:eastAsia="zh-CN"/>
              </w:rPr>
              <w:t>30</w:t>
            </w:r>
            <w:r>
              <w:rPr>
                <w:rFonts w:ascii="仿宋" w:hAnsi="仿宋" w:eastAsia="仿宋" w:cs="仿宋"/>
                <w:color w:val="auto"/>
                <w:szCs w:val="21"/>
              </w:rPr>
              <w:t>%</w:t>
            </w:r>
            <w:r>
              <w:rPr>
                <w:rFonts w:hint="eastAsia" w:ascii="仿宋" w:hAnsi="仿宋" w:eastAsia="仿宋" w:cs="仿宋"/>
                <w:color w:val="auto"/>
                <w:szCs w:val="21"/>
              </w:rPr>
              <w:t>；</w:t>
            </w:r>
          </w:p>
          <w:p w14:paraId="1DFA12CF">
            <w:pPr>
              <w:autoSpaceDE w:val="0"/>
              <w:autoSpaceDN w:val="0"/>
              <w:adjustRightInd w:val="0"/>
              <w:snapToGrid w:val="0"/>
              <w:spacing w:after="0" w:line="360" w:lineRule="auto"/>
              <w:rPr>
                <w:rFonts w:hint="eastAsia" w:ascii="仿宋" w:hAnsi="仿宋" w:eastAsia="仿宋" w:cs="仿宋"/>
                <w:color w:val="auto"/>
                <w:szCs w:val="21"/>
              </w:rPr>
            </w:pPr>
            <w:r>
              <w:rPr>
                <w:rFonts w:hint="eastAsia" w:ascii="仿宋" w:hAnsi="仿宋" w:eastAsia="仿宋" w:cs="仿宋"/>
                <w:color w:val="auto"/>
                <w:szCs w:val="21"/>
              </w:rPr>
              <w:t>第二阶段，乙方达到项目进度的70%（完成规划初步成果）后，甲方在收到等额有效发票后的10天内支付合同总额的20%；</w:t>
            </w:r>
          </w:p>
          <w:p w14:paraId="1DB0484C">
            <w:pPr>
              <w:autoSpaceDE w:val="0"/>
              <w:autoSpaceDN w:val="0"/>
              <w:adjustRightInd w:val="0"/>
              <w:snapToGrid w:val="0"/>
              <w:spacing w:after="0" w:line="360" w:lineRule="auto"/>
              <w:rPr>
                <w:rFonts w:hint="eastAsia" w:ascii="仿宋" w:hAnsi="仿宋" w:eastAsia="仿宋" w:cs="仿宋"/>
                <w:color w:val="auto"/>
                <w:szCs w:val="21"/>
              </w:rPr>
            </w:pPr>
            <w:r>
              <w:rPr>
                <w:rFonts w:hint="eastAsia" w:ascii="仿宋" w:hAnsi="仿宋" w:eastAsia="仿宋" w:cs="仿宋"/>
                <w:color w:val="auto"/>
                <w:szCs w:val="21"/>
              </w:rPr>
              <w:t>第三阶段，乙方达到项目进度的90%（完成规划送审成果并通过政府审查研究）后，甲方在收到等额有效发票后的10天内支付合同总额的</w:t>
            </w:r>
            <w:r>
              <w:rPr>
                <w:rFonts w:hint="eastAsia" w:ascii="仿宋" w:hAnsi="仿宋" w:eastAsia="仿宋" w:cs="仿宋"/>
                <w:color w:val="auto"/>
                <w:szCs w:val="21"/>
                <w:lang w:val="en-US" w:eastAsia="zh-CN"/>
              </w:rPr>
              <w:t>40</w:t>
            </w:r>
            <w:r>
              <w:rPr>
                <w:rFonts w:hint="eastAsia" w:ascii="仿宋" w:hAnsi="仿宋" w:eastAsia="仿宋" w:cs="仿宋"/>
                <w:color w:val="auto"/>
                <w:szCs w:val="21"/>
              </w:rPr>
              <w:t>%；</w:t>
            </w:r>
          </w:p>
          <w:p w14:paraId="0ED24ED3">
            <w:pPr>
              <w:autoSpaceDE w:val="0"/>
              <w:autoSpaceDN w:val="0"/>
              <w:adjustRightInd w:val="0"/>
              <w:snapToGrid w:val="0"/>
              <w:spacing w:after="0" w:line="360" w:lineRule="auto"/>
              <w:rPr>
                <w:rFonts w:hint="eastAsia" w:ascii="仿宋" w:hAnsi="仿宋" w:eastAsia="仿宋" w:cs="仿宋"/>
                <w:color w:val="auto"/>
                <w:szCs w:val="21"/>
              </w:rPr>
            </w:pPr>
            <w:r>
              <w:rPr>
                <w:rFonts w:hint="eastAsia" w:ascii="仿宋" w:hAnsi="仿宋" w:eastAsia="仿宋" w:cs="仿宋"/>
                <w:color w:val="auto"/>
                <w:szCs w:val="21"/>
              </w:rPr>
              <w:t>第四阶段，乙方达到项目进度的100%（提交成果并完成报批备案）后，甲方在收到等额有效发票后的10天内支付合同总额的10%。</w:t>
            </w:r>
          </w:p>
          <w:p w14:paraId="0A528DDA">
            <w:pPr>
              <w:autoSpaceDE w:val="0"/>
              <w:autoSpaceDN w:val="0"/>
              <w:adjustRightInd w:val="0"/>
              <w:snapToGrid w:val="0"/>
              <w:spacing w:after="0" w:line="360" w:lineRule="auto"/>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注：具体付款方式以合同签订为准。</w:t>
            </w:r>
          </w:p>
        </w:tc>
      </w:tr>
      <w:tr w14:paraId="572B66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61" w:hRule="atLeast"/>
        </w:trPr>
        <w:tc>
          <w:tcPr>
            <w:tcW w:w="709" w:type="dxa"/>
            <w:vAlign w:val="center"/>
          </w:tcPr>
          <w:p w14:paraId="26A83030">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39</w:t>
            </w:r>
          </w:p>
        </w:tc>
        <w:tc>
          <w:tcPr>
            <w:tcW w:w="1701" w:type="dxa"/>
            <w:vAlign w:val="center"/>
          </w:tcPr>
          <w:p w14:paraId="1D4D719D">
            <w:pPr>
              <w:autoSpaceDE w:val="0"/>
              <w:autoSpaceDN w:val="0"/>
              <w:adjustRightInd w:val="0"/>
              <w:snapToGrid w:val="0"/>
              <w:spacing w:after="0" w:line="360" w:lineRule="auto"/>
              <w:jc w:val="center"/>
              <w:rPr>
                <w:rFonts w:hint="eastAsia" w:ascii="仿宋" w:hAnsi="仿宋" w:eastAsia="仿宋" w:cs="仿宋"/>
                <w:color w:val="auto"/>
                <w:szCs w:val="21"/>
              </w:rPr>
            </w:pPr>
            <w:r>
              <w:rPr>
                <w:rFonts w:hint="eastAsia" w:ascii="仿宋" w:hAnsi="仿宋" w:eastAsia="仿宋" w:cs="仿宋"/>
                <w:color w:val="auto"/>
                <w:szCs w:val="21"/>
              </w:rPr>
              <w:t>履约验收</w:t>
            </w:r>
          </w:p>
        </w:tc>
        <w:tc>
          <w:tcPr>
            <w:tcW w:w="5891" w:type="dxa"/>
            <w:vAlign w:val="center"/>
          </w:tcPr>
          <w:p w14:paraId="3F0C5526">
            <w:pPr>
              <w:autoSpaceDE w:val="0"/>
              <w:autoSpaceDN w:val="0"/>
              <w:adjustRightInd w:val="0"/>
              <w:snapToGrid w:val="0"/>
              <w:spacing w:after="0" w:line="360" w:lineRule="auto"/>
              <w:rPr>
                <w:rFonts w:hint="eastAsia" w:ascii="仿宋" w:hAnsi="仿宋" w:eastAsia="仿宋" w:cs="仿宋"/>
                <w:color w:val="auto"/>
                <w:szCs w:val="21"/>
              </w:rPr>
            </w:pPr>
            <w:r>
              <w:rPr>
                <w:rFonts w:hint="eastAsia" w:ascii="仿宋" w:hAnsi="仿宋" w:eastAsia="仿宋" w:cs="仿宋"/>
                <w:color w:val="auto"/>
                <w:szCs w:val="21"/>
              </w:rPr>
              <w:t>项目履约验收应符合“西藏自治区财政厅关于印发《西藏自治区政府采购履约验收管理办法》的通知”（藏财采办[2019]36号）的要求。</w:t>
            </w:r>
          </w:p>
        </w:tc>
      </w:tr>
      <w:tr w14:paraId="69A868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61" w:hRule="atLeast"/>
        </w:trPr>
        <w:tc>
          <w:tcPr>
            <w:tcW w:w="709" w:type="dxa"/>
            <w:vAlign w:val="center"/>
          </w:tcPr>
          <w:p w14:paraId="3710B1D5">
            <w:pPr>
              <w:autoSpaceDE w:val="0"/>
              <w:autoSpaceDN w:val="0"/>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40</w:t>
            </w:r>
          </w:p>
        </w:tc>
        <w:tc>
          <w:tcPr>
            <w:tcW w:w="1701" w:type="dxa"/>
            <w:vAlign w:val="center"/>
          </w:tcPr>
          <w:p w14:paraId="1682FE11">
            <w:pPr>
              <w:autoSpaceDE w:val="0"/>
              <w:autoSpaceDN w:val="0"/>
              <w:adjustRightInd w:val="0"/>
              <w:snapToGrid w:val="0"/>
              <w:spacing w:after="0" w:line="360" w:lineRule="auto"/>
              <w:jc w:val="center"/>
              <w:rPr>
                <w:rFonts w:hint="eastAsia" w:ascii="仿宋" w:hAnsi="仿宋" w:eastAsia="仿宋" w:cs="仿宋"/>
                <w:color w:val="auto"/>
                <w:szCs w:val="21"/>
              </w:rPr>
            </w:pPr>
            <w:r>
              <w:rPr>
                <w:rFonts w:hint="eastAsia" w:ascii="仿宋" w:hAnsi="仿宋" w:eastAsia="仿宋" w:cs="仿宋"/>
                <w:color w:val="auto"/>
                <w:szCs w:val="21"/>
              </w:rPr>
              <w:t>是否接受联合体投标</w:t>
            </w:r>
          </w:p>
        </w:tc>
        <w:tc>
          <w:tcPr>
            <w:tcW w:w="5891" w:type="dxa"/>
            <w:vAlign w:val="center"/>
          </w:tcPr>
          <w:p w14:paraId="3A5982CE">
            <w:pPr>
              <w:autoSpaceDE w:val="0"/>
              <w:autoSpaceDN w:val="0"/>
              <w:adjustRightInd w:val="0"/>
              <w:snapToGrid w:val="0"/>
              <w:spacing w:after="0" w:line="360" w:lineRule="auto"/>
              <w:rPr>
                <w:rFonts w:hint="eastAsia" w:ascii="仿宋" w:hAnsi="仿宋" w:eastAsia="仿宋" w:cs="仿宋"/>
                <w:color w:val="auto"/>
                <w:szCs w:val="21"/>
              </w:rPr>
            </w:pPr>
            <w:r>
              <w:rPr>
                <w:rFonts w:hint="eastAsia" w:ascii="仿宋" w:hAnsi="仿宋" w:eastAsia="仿宋" w:cs="仿宋"/>
                <w:color w:val="auto"/>
                <w:szCs w:val="21"/>
                <w:lang w:eastAsia="zh-CN"/>
              </w:rPr>
              <w:t>☑</w:t>
            </w:r>
            <w:r>
              <w:rPr>
                <w:rFonts w:hint="eastAsia" w:ascii="仿宋" w:hAnsi="仿宋" w:eastAsia="仿宋" w:cs="仿宋"/>
                <w:color w:val="auto"/>
                <w:szCs w:val="21"/>
              </w:rPr>
              <w:t>不接受</w:t>
            </w:r>
          </w:p>
          <w:p w14:paraId="59F01026">
            <w:pPr>
              <w:autoSpaceDE w:val="0"/>
              <w:autoSpaceDN w:val="0"/>
              <w:adjustRightInd w:val="0"/>
              <w:snapToGrid w:val="0"/>
              <w:spacing w:after="0" w:line="360" w:lineRule="auto"/>
              <w:rPr>
                <w:rFonts w:hint="eastAsia" w:ascii="仿宋" w:hAnsi="仿宋" w:eastAsia="仿宋" w:cs="仿宋"/>
                <w:color w:val="auto"/>
                <w:szCs w:val="21"/>
              </w:rPr>
            </w:pPr>
            <w:r>
              <w:rPr>
                <w:rFonts w:hint="eastAsia" w:ascii="仿宋" w:hAnsi="仿宋" w:eastAsia="仿宋" w:cs="仿宋"/>
                <w:color w:val="auto"/>
                <w:szCs w:val="21"/>
                <w:lang w:eastAsia="zh-CN"/>
              </w:rPr>
              <w:t>□</w:t>
            </w:r>
            <w:r>
              <w:rPr>
                <w:rFonts w:hint="eastAsia" w:ascii="仿宋" w:hAnsi="仿宋" w:eastAsia="仿宋" w:cs="仿宋"/>
                <w:color w:val="auto"/>
                <w:szCs w:val="21"/>
              </w:rPr>
              <w:t>接受，应满足下列要求：</w:t>
            </w:r>
          </w:p>
        </w:tc>
      </w:tr>
    </w:tbl>
    <w:p w14:paraId="7CB0A503">
      <w:pPr>
        <w:spacing w:after="0"/>
        <w:rPr>
          <w:rFonts w:hint="eastAsia" w:ascii="仿宋" w:hAnsi="仿宋" w:eastAsia="仿宋" w:cs="仿宋"/>
        </w:rPr>
        <w:sectPr>
          <w:footerReference r:id="rId11" w:type="first"/>
          <w:footerReference r:id="rId10" w:type="default"/>
          <w:pgSz w:w="11906" w:h="16838"/>
          <w:pgMar w:top="1440" w:right="1800" w:bottom="1440" w:left="1800" w:header="851" w:footer="992" w:gutter="0"/>
          <w:cols w:space="720" w:num="1"/>
          <w:titlePg/>
          <w:docGrid w:type="lines" w:linePitch="312" w:charSpace="0"/>
        </w:sectPr>
      </w:pPr>
    </w:p>
    <w:bookmarkEnd w:id="52"/>
    <w:bookmarkEnd w:id="53"/>
    <w:bookmarkEnd w:id="54"/>
    <w:bookmarkEnd w:id="55"/>
    <w:bookmarkEnd w:id="56"/>
    <w:p w14:paraId="1FB7662B">
      <w:pPr>
        <w:pStyle w:val="14"/>
        <w:numPr>
          <w:ilvl w:val="1"/>
          <w:numId w:val="0"/>
        </w:numPr>
        <w:tabs>
          <w:tab w:val="left" w:pos="602"/>
        </w:tabs>
        <w:snapToGrid w:val="0"/>
        <w:spacing w:before="0" w:after="0" w:line="360" w:lineRule="auto"/>
        <w:jc w:val="left"/>
        <w:outlineLvl w:val="1"/>
        <w:rPr>
          <w:rFonts w:hint="eastAsia" w:ascii="仿宋" w:hAnsi="仿宋" w:eastAsia="仿宋" w:cs="仿宋"/>
          <w:sz w:val="28"/>
          <w:szCs w:val="28"/>
        </w:rPr>
      </w:pPr>
      <w:bookmarkStart w:id="57" w:name="_Toc32449"/>
      <w:bookmarkStart w:id="58" w:name="_Toc15217"/>
      <w:bookmarkStart w:id="59" w:name="_Toc14778"/>
      <w:bookmarkStart w:id="60" w:name="_Toc23608"/>
      <w:bookmarkStart w:id="61" w:name="_Toc447265502"/>
      <w:bookmarkStart w:id="62" w:name="_Toc447265216"/>
      <w:r>
        <w:rPr>
          <w:rFonts w:hint="eastAsia" w:ascii="仿宋" w:hAnsi="仿宋" w:eastAsia="仿宋" w:cs="仿宋"/>
          <w:sz w:val="28"/>
          <w:szCs w:val="28"/>
        </w:rPr>
        <w:t>一、总则</w:t>
      </w:r>
      <w:bookmarkEnd w:id="57"/>
      <w:bookmarkEnd w:id="58"/>
      <w:bookmarkEnd w:id="59"/>
      <w:bookmarkEnd w:id="60"/>
      <w:bookmarkEnd w:id="61"/>
      <w:bookmarkEnd w:id="62"/>
    </w:p>
    <w:p w14:paraId="59D73FAF">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63" w:name="_Toc4289"/>
      <w:bookmarkStart w:id="64" w:name="_Toc7122"/>
      <w:bookmarkStart w:id="65" w:name="_Toc144974498"/>
      <w:bookmarkStart w:id="66" w:name="_Toc447188668"/>
      <w:bookmarkStart w:id="67" w:name="_Toc447265503"/>
      <w:bookmarkStart w:id="68" w:name="_Toc23125"/>
      <w:bookmarkStart w:id="69" w:name="_Toc27712"/>
      <w:bookmarkStart w:id="70" w:name="_Toc246996176"/>
      <w:bookmarkStart w:id="71" w:name="_Toc179632547"/>
      <w:bookmarkStart w:id="72" w:name="_Toc296602421"/>
      <w:bookmarkStart w:id="73" w:name="_Toc447265217"/>
      <w:bookmarkStart w:id="74" w:name="_Toc152045530"/>
      <w:bookmarkStart w:id="75" w:name="_Toc246996919"/>
      <w:bookmarkStart w:id="76" w:name="_Toc247085690"/>
      <w:bookmarkStart w:id="77" w:name="_Toc152042306"/>
      <w:r>
        <w:rPr>
          <w:rFonts w:hint="eastAsia" w:ascii="仿宋" w:hAnsi="仿宋" w:eastAsia="仿宋" w:cs="仿宋"/>
          <w:sz w:val="24"/>
          <w:szCs w:val="24"/>
        </w:rPr>
        <w:t>1.项目概况</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31B30207">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1.1根据《中华人民共和国政府采购法》（以下简称《政府采购法》）、《中国人民共和国政府采购实施条例》（以下简称《实施条例》）等有关法律、法规和规章的规定，本招标项目已具备招标条件，现对本项目进行招标。</w:t>
      </w:r>
    </w:p>
    <w:p w14:paraId="3B619E22">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1.2采购人：采购人单位名称及联系方式见供应商须知前附表。</w:t>
      </w:r>
    </w:p>
    <w:p w14:paraId="2AFC6528">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1.3项目名称：项目名称及项目编号见供应商须知前附表。</w:t>
      </w:r>
    </w:p>
    <w:p w14:paraId="2FC16B1A">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78" w:name="_Toc447188669"/>
      <w:bookmarkStart w:id="79" w:name="_Toc226969279"/>
      <w:bookmarkStart w:id="80" w:name="_Toc227057886"/>
      <w:bookmarkStart w:id="81" w:name="_Toc447265218"/>
      <w:bookmarkStart w:id="82" w:name="_Toc16913"/>
      <w:bookmarkStart w:id="83" w:name="_Toc23852"/>
      <w:bookmarkStart w:id="84" w:name="_Toc21259"/>
      <w:bookmarkStart w:id="85" w:name="_Toc447265504"/>
      <w:bookmarkStart w:id="86" w:name="_Toc11479"/>
      <w:r>
        <w:rPr>
          <w:rFonts w:hint="eastAsia" w:ascii="仿宋" w:hAnsi="仿宋" w:eastAsia="仿宋" w:cs="仿宋"/>
          <w:sz w:val="24"/>
          <w:szCs w:val="24"/>
        </w:rPr>
        <w:t>2.资金来源</w:t>
      </w:r>
      <w:bookmarkEnd w:id="78"/>
      <w:bookmarkEnd w:id="79"/>
      <w:bookmarkEnd w:id="80"/>
      <w:r>
        <w:rPr>
          <w:rFonts w:hint="eastAsia" w:ascii="仿宋" w:hAnsi="仿宋" w:eastAsia="仿宋" w:cs="仿宋"/>
          <w:sz w:val="24"/>
          <w:szCs w:val="24"/>
        </w:rPr>
        <w:t>和落实情况</w:t>
      </w:r>
      <w:bookmarkEnd w:id="81"/>
      <w:bookmarkEnd w:id="82"/>
      <w:bookmarkEnd w:id="83"/>
      <w:bookmarkEnd w:id="84"/>
      <w:bookmarkEnd w:id="85"/>
      <w:bookmarkEnd w:id="86"/>
    </w:p>
    <w:p w14:paraId="2A36876F">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本招标项目资金已落实，资金来源见供应商须知前附表。</w:t>
      </w:r>
    </w:p>
    <w:p w14:paraId="08F66FA4">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87" w:name="_Toc31913"/>
      <w:bookmarkStart w:id="88" w:name="_Toc24254"/>
      <w:bookmarkStart w:id="89" w:name="_Toc24161"/>
      <w:bookmarkStart w:id="90" w:name="_Toc447265219"/>
      <w:bookmarkStart w:id="91" w:name="_Toc447188670"/>
      <w:bookmarkStart w:id="92" w:name="_Toc447265505"/>
      <w:bookmarkStart w:id="93" w:name="_Toc28260"/>
      <w:r>
        <w:rPr>
          <w:rFonts w:hint="eastAsia" w:ascii="仿宋" w:hAnsi="仿宋" w:eastAsia="仿宋" w:cs="仿宋"/>
          <w:sz w:val="24"/>
          <w:szCs w:val="24"/>
        </w:rPr>
        <w:t>3.招标范围</w:t>
      </w:r>
      <w:bookmarkEnd w:id="87"/>
      <w:bookmarkEnd w:id="88"/>
      <w:bookmarkEnd w:id="89"/>
      <w:bookmarkEnd w:id="90"/>
      <w:bookmarkEnd w:id="91"/>
      <w:bookmarkEnd w:id="92"/>
      <w:bookmarkEnd w:id="93"/>
    </w:p>
    <w:p w14:paraId="71259089">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本项目招标范围：见供应商须知前附表。</w:t>
      </w:r>
    </w:p>
    <w:p w14:paraId="4926CD2F">
      <w:pPr>
        <w:pStyle w:val="14"/>
        <w:numPr>
          <w:ilvl w:val="1"/>
          <w:numId w:val="0"/>
        </w:numPr>
        <w:tabs>
          <w:tab w:val="left" w:pos="577"/>
          <w:tab w:val="left" w:pos="588"/>
        </w:tabs>
        <w:snapToGrid w:val="0"/>
        <w:spacing w:before="0" w:after="0" w:line="360" w:lineRule="auto"/>
        <w:jc w:val="left"/>
        <w:outlineLvl w:val="2"/>
        <w:rPr>
          <w:rFonts w:hint="eastAsia" w:ascii="仿宋" w:hAnsi="仿宋" w:eastAsia="仿宋" w:cs="仿宋"/>
          <w:sz w:val="24"/>
          <w:szCs w:val="24"/>
        </w:rPr>
      </w:pPr>
      <w:bookmarkStart w:id="94" w:name="_Toc22148"/>
      <w:bookmarkStart w:id="95" w:name="_Toc31388"/>
      <w:bookmarkStart w:id="96" w:name="_Toc1539"/>
      <w:bookmarkStart w:id="97" w:name="_Toc15816"/>
      <w:bookmarkStart w:id="98" w:name="_Toc26579"/>
      <w:r>
        <w:rPr>
          <w:rFonts w:hint="eastAsia" w:ascii="仿宋" w:hAnsi="仿宋" w:eastAsia="仿宋" w:cs="仿宋"/>
          <w:sz w:val="24"/>
          <w:szCs w:val="24"/>
        </w:rPr>
        <w:t>4.标段划分</w:t>
      </w:r>
      <w:bookmarkEnd w:id="94"/>
      <w:bookmarkEnd w:id="95"/>
      <w:bookmarkEnd w:id="96"/>
      <w:bookmarkEnd w:id="97"/>
      <w:bookmarkEnd w:id="98"/>
    </w:p>
    <w:p w14:paraId="709A4FD3">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4.1本项目标段划分情况见供应商须知前附表。</w:t>
      </w:r>
    </w:p>
    <w:p w14:paraId="6AF543FE">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99" w:name="_Toc447265507"/>
      <w:bookmarkStart w:id="100" w:name="_Toc18218"/>
      <w:bookmarkStart w:id="101" w:name="_Toc447265221"/>
      <w:bookmarkStart w:id="102" w:name="_Toc107822486"/>
      <w:bookmarkStart w:id="103" w:name="_Toc21042"/>
      <w:bookmarkStart w:id="104" w:name="_Toc227057888"/>
      <w:bookmarkStart w:id="105" w:name="_Toc447188672"/>
      <w:bookmarkStart w:id="106" w:name="_Toc226969281"/>
      <w:bookmarkStart w:id="107" w:name="_Toc21445"/>
      <w:bookmarkStart w:id="108" w:name="_Toc21456"/>
      <w:r>
        <w:rPr>
          <w:rFonts w:hint="eastAsia" w:ascii="仿宋" w:hAnsi="仿宋" w:eastAsia="仿宋" w:cs="仿宋"/>
          <w:sz w:val="24"/>
          <w:szCs w:val="24"/>
        </w:rPr>
        <w:t>5.招标方式</w:t>
      </w:r>
      <w:bookmarkEnd w:id="99"/>
      <w:bookmarkEnd w:id="100"/>
      <w:bookmarkEnd w:id="101"/>
      <w:bookmarkEnd w:id="102"/>
      <w:bookmarkEnd w:id="103"/>
      <w:bookmarkEnd w:id="104"/>
      <w:bookmarkEnd w:id="105"/>
      <w:bookmarkEnd w:id="106"/>
      <w:bookmarkEnd w:id="107"/>
      <w:bookmarkEnd w:id="108"/>
    </w:p>
    <w:p w14:paraId="5E3E484E">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5.1招标方式见供应商须知前附表。</w:t>
      </w:r>
    </w:p>
    <w:p w14:paraId="1668BADF">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5.2公开招标是指采购人以招标公告的方式邀请不特定的法人或者其他组织投标。</w:t>
      </w:r>
    </w:p>
    <w:p w14:paraId="4AD5AB04">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5.3邀请招标是指采购人以投标邀请书的方式邀请特定的法人或者其他组织投标。</w:t>
      </w:r>
    </w:p>
    <w:p w14:paraId="020EA687">
      <w:pPr>
        <w:pStyle w:val="14"/>
        <w:numPr>
          <w:ilvl w:val="1"/>
          <w:numId w:val="0"/>
        </w:numPr>
        <w:tabs>
          <w:tab w:val="left" w:pos="564"/>
          <w:tab w:val="left" w:pos="588"/>
        </w:tabs>
        <w:snapToGrid w:val="0"/>
        <w:spacing w:before="0" w:after="0" w:line="360" w:lineRule="auto"/>
        <w:jc w:val="left"/>
        <w:outlineLvl w:val="2"/>
        <w:rPr>
          <w:rFonts w:hint="eastAsia" w:ascii="仿宋" w:hAnsi="仿宋" w:eastAsia="仿宋" w:cs="仿宋"/>
          <w:sz w:val="24"/>
          <w:szCs w:val="24"/>
        </w:rPr>
      </w:pPr>
      <w:bookmarkStart w:id="109" w:name="_Toc227057887"/>
      <w:bookmarkStart w:id="110" w:name="_Toc447265222"/>
      <w:bookmarkStart w:id="111" w:name="_Toc447265508"/>
      <w:bookmarkStart w:id="112" w:name="_Toc447188673"/>
      <w:bookmarkStart w:id="113" w:name="_Toc107822485"/>
      <w:bookmarkStart w:id="114" w:name="_Toc29845"/>
      <w:bookmarkStart w:id="115" w:name="_Toc6292"/>
      <w:bookmarkStart w:id="116" w:name="_Toc226969280"/>
      <w:bookmarkStart w:id="117" w:name="_Toc24624"/>
      <w:bookmarkStart w:id="118" w:name="_Toc11551"/>
      <w:bookmarkStart w:id="119" w:name="_Toc226969282"/>
      <w:bookmarkStart w:id="120" w:name="_Toc227057889"/>
      <w:r>
        <w:rPr>
          <w:rFonts w:hint="eastAsia" w:ascii="仿宋" w:hAnsi="仿宋" w:eastAsia="仿宋" w:cs="仿宋"/>
          <w:sz w:val="24"/>
          <w:szCs w:val="24"/>
        </w:rPr>
        <w:t>6.招标的组织形式</w:t>
      </w:r>
      <w:bookmarkEnd w:id="109"/>
      <w:bookmarkEnd w:id="110"/>
      <w:bookmarkEnd w:id="111"/>
      <w:bookmarkEnd w:id="112"/>
      <w:bookmarkEnd w:id="113"/>
      <w:bookmarkEnd w:id="114"/>
      <w:bookmarkEnd w:id="115"/>
      <w:bookmarkEnd w:id="116"/>
      <w:bookmarkEnd w:id="117"/>
      <w:bookmarkEnd w:id="118"/>
    </w:p>
    <w:p w14:paraId="07173601">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本项目由采购人委托招标代理机构采用代理招标的方式进行，招标的组织形式、招标代理机构名称及联系方式见供应商须知前附表。</w:t>
      </w:r>
    </w:p>
    <w:p w14:paraId="207F773F">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21" w:name="_Toc447265223"/>
      <w:bookmarkStart w:id="122" w:name="_Toc447188674"/>
      <w:bookmarkStart w:id="123" w:name="_Toc5887"/>
      <w:bookmarkStart w:id="124" w:name="_Toc22979"/>
      <w:bookmarkStart w:id="125" w:name="_Toc20185"/>
      <w:bookmarkStart w:id="126" w:name="_Toc447265509"/>
      <w:bookmarkStart w:id="127" w:name="_Toc6256"/>
      <w:r>
        <w:rPr>
          <w:rFonts w:hint="eastAsia" w:ascii="仿宋" w:hAnsi="仿宋" w:eastAsia="仿宋" w:cs="仿宋"/>
          <w:sz w:val="24"/>
          <w:szCs w:val="24"/>
        </w:rPr>
        <w:t>7.资格审查</w:t>
      </w:r>
      <w:bookmarkEnd w:id="119"/>
      <w:bookmarkEnd w:id="120"/>
      <w:bookmarkEnd w:id="121"/>
      <w:bookmarkEnd w:id="122"/>
      <w:bookmarkEnd w:id="123"/>
      <w:bookmarkEnd w:id="124"/>
      <w:bookmarkEnd w:id="125"/>
      <w:bookmarkEnd w:id="126"/>
      <w:bookmarkEnd w:id="127"/>
    </w:p>
    <w:p w14:paraId="550E5CCE">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7.1本招标项目资格审查方式见供应商须知前附表。</w:t>
      </w:r>
    </w:p>
    <w:p w14:paraId="230B2CE2">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7.2资格预审是指在投标前对供应商进行的资格审查。采用资格预审方式的，资格条件已经在招标文件发出前的“资格预审文件”中做出规定。</w:t>
      </w:r>
    </w:p>
    <w:p w14:paraId="7EC59464">
      <w:pPr>
        <w:pStyle w:val="8"/>
        <w:numPr>
          <w:ilvl w:val="2"/>
          <w:numId w:val="0"/>
        </w:numPr>
        <w:tabs>
          <w:tab w:val="left" w:pos="630"/>
        </w:tabs>
        <w:snapToGrid w:val="0"/>
        <w:spacing w:after="0" w:line="360" w:lineRule="auto"/>
        <w:ind w:firstLine="420" w:firstLineChars="200"/>
        <w:rPr>
          <w:rFonts w:hint="eastAsia" w:ascii="仿宋" w:hAnsi="仿宋" w:eastAsia="仿宋" w:cs="仿宋"/>
        </w:rPr>
      </w:pPr>
      <w:bookmarkStart w:id="128" w:name="_Toc226969283"/>
      <w:r>
        <w:rPr>
          <w:rFonts w:hint="eastAsia" w:ascii="仿宋" w:hAnsi="仿宋" w:eastAsia="仿宋" w:cs="仿宋"/>
        </w:rPr>
        <w:t>7.3资格后审是指在开标后由评标委员会根据招标文件的规定对供应商进行的资格审查。</w:t>
      </w:r>
      <w:bookmarkEnd w:id="128"/>
      <w:r>
        <w:rPr>
          <w:rFonts w:hint="eastAsia" w:ascii="仿宋" w:hAnsi="仿宋" w:eastAsia="仿宋" w:cs="仿宋"/>
        </w:rPr>
        <w:t>采用资格后审方式的，供应商应当具备的资格条件见供应商须知前附表。</w:t>
      </w:r>
    </w:p>
    <w:p w14:paraId="7CDACCAA">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7.4采用资格后审的，采购人必须在招标文件中详细规定资格审查标准和方法。</w:t>
      </w:r>
    </w:p>
    <w:p w14:paraId="70EA9E33">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7.5资格后审一般包括下列内容：</w:t>
      </w:r>
    </w:p>
    <w:p w14:paraId="73C401E3">
      <w:pPr>
        <w:numPr>
          <w:ilvl w:val="0"/>
          <w:numId w:val="5"/>
        </w:numPr>
        <w:tabs>
          <w:tab w:val="left" w:pos="644"/>
        </w:tabs>
        <w:snapToGrid w:val="0"/>
        <w:spacing w:after="0" w:line="360" w:lineRule="auto"/>
        <w:ind w:left="0" w:firstLine="420" w:firstLineChars="200"/>
        <w:jc w:val="left"/>
        <w:rPr>
          <w:rFonts w:hint="eastAsia" w:ascii="仿宋" w:hAnsi="仿宋" w:eastAsia="仿宋" w:cs="仿宋"/>
          <w:szCs w:val="21"/>
        </w:rPr>
      </w:pPr>
      <w:r>
        <w:rPr>
          <w:rFonts w:hint="eastAsia" w:ascii="仿宋" w:hAnsi="仿宋" w:eastAsia="仿宋" w:cs="仿宋"/>
          <w:szCs w:val="21"/>
        </w:rPr>
        <w:t>资格要求；</w:t>
      </w:r>
    </w:p>
    <w:p w14:paraId="418948F1">
      <w:pPr>
        <w:numPr>
          <w:ilvl w:val="0"/>
          <w:numId w:val="5"/>
        </w:numPr>
        <w:tabs>
          <w:tab w:val="left" w:pos="644"/>
        </w:tabs>
        <w:snapToGrid w:val="0"/>
        <w:spacing w:after="0" w:line="360" w:lineRule="auto"/>
        <w:ind w:left="0" w:firstLine="420" w:firstLineChars="200"/>
        <w:jc w:val="left"/>
        <w:rPr>
          <w:rFonts w:hint="eastAsia" w:ascii="仿宋" w:hAnsi="仿宋" w:eastAsia="仿宋" w:cs="仿宋"/>
          <w:szCs w:val="21"/>
        </w:rPr>
      </w:pPr>
      <w:r>
        <w:rPr>
          <w:rFonts w:hint="eastAsia" w:ascii="仿宋" w:hAnsi="仿宋" w:eastAsia="仿宋" w:cs="仿宋"/>
          <w:szCs w:val="21"/>
        </w:rPr>
        <w:t>其他业绩要求（若有）；</w:t>
      </w:r>
    </w:p>
    <w:p w14:paraId="4AC0198C">
      <w:pPr>
        <w:numPr>
          <w:ilvl w:val="0"/>
          <w:numId w:val="5"/>
        </w:numPr>
        <w:tabs>
          <w:tab w:val="left" w:pos="644"/>
        </w:tabs>
        <w:snapToGrid w:val="0"/>
        <w:spacing w:after="0" w:line="360" w:lineRule="auto"/>
        <w:ind w:left="0" w:firstLine="420" w:firstLineChars="200"/>
        <w:jc w:val="left"/>
        <w:rPr>
          <w:rFonts w:hint="eastAsia" w:ascii="仿宋" w:hAnsi="仿宋" w:eastAsia="仿宋" w:cs="仿宋"/>
          <w:szCs w:val="21"/>
        </w:rPr>
      </w:pPr>
      <w:r>
        <w:rPr>
          <w:rFonts w:hint="eastAsia" w:ascii="仿宋" w:hAnsi="仿宋" w:eastAsia="仿宋" w:cs="仿宋"/>
          <w:szCs w:val="21"/>
        </w:rPr>
        <w:t>审查标准和方法。</w:t>
      </w:r>
    </w:p>
    <w:p w14:paraId="46A0DB16">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7.6资格后审不合格的供应商，评标委员会应当否决其投标。</w:t>
      </w:r>
    </w:p>
    <w:p w14:paraId="2401C2EB">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29" w:name="_Toc15266"/>
      <w:bookmarkStart w:id="130" w:name="_Toc32299"/>
      <w:bookmarkStart w:id="131" w:name="_Toc9685"/>
      <w:bookmarkStart w:id="132" w:name="_Toc447265510"/>
      <w:bookmarkStart w:id="133" w:name="_Toc447188675"/>
      <w:bookmarkStart w:id="134" w:name="_Toc447265224"/>
      <w:bookmarkStart w:id="135" w:name="_Toc15672"/>
      <w:r>
        <w:rPr>
          <w:rFonts w:hint="eastAsia" w:ascii="仿宋" w:hAnsi="仿宋" w:eastAsia="仿宋" w:cs="仿宋"/>
          <w:sz w:val="24"/>
          <w:szCs w:val="24"/>
        </w:rPr>
        <w:t>8.※供应商不得存在的情形</w:t>
      </w:r>
      <w:bookmarkEnd w:id="129"/>
      <w:bookmarkEnd w:id="130"/>
      <w:bookmarkEnd w:id="131"/>
      <w:bookmarkEnd w:id="132"/>
      <w:bookmarkEnd w:id="133"/>
      <w:bookmarkEnd w:id="134"/>
      <w:bookmarkEnd w:id="135"/>
    </w:p>
    <w:p w14:paraId="729F88BC">
      <w:pPr>
        <w:pStyle w:val="8"/>
        <w:numPr>
          <w:ilvl w:val="2"/>
          <w:numId w:val="0"/>
        </w:numPr>
        <w:tabs>
          <w:tab w:val="left" w:pos="630"/>
        </w:tabs>
        <w:snapToGrid w:val="0"/>
        <w:spacing w:after="0" w:line="360" w:lineRule="auto"/>
        <w:rPr>
          <w:rFonts w:hint="eastAsia" w:ascii="仿宋" w:hAnsi="仿宋" w:eastAsia="仿宋" w:cs="仿宋"/>
        </w:rPr>
      </w:pPr>
      <w:r>
        <w:rPr>
          <w:rFonts w:hint="eastAsia" w:ascii="仿宋" w:hAnsi="仿宋" w:eastAsia="仿宋" w:cs="仿宋"/>
        </w:rPr>
        <w:t>8.1供应商不得存在下列情形之一：</w:t>
      </w:r>
    </w:p>
    <w:p w14:paraId="6D4D8C8E">
      <w:pPr>
        <w:pStyle w:val="20"/>
        <w:numPr>
          <w:ilvl w:val="0"/>
          <w:numId w:val="6"/>
        </w:numPr>
        <w:tabs>
          <w:tab w:val="left" w:pos="630"/>
        </w:tabs>
        <w:snapToGrid w:val="0"/>
        <w:spacing w:after="0" w:line="360" w:lineRule="auto"/>
        <w:rPr>
          <w:rFonts w:hint="eastAsia" w:ascii="仿宋" w:hAnsi="仿宋" w:eastAsia="仿宋" w:cs="仿宋"/>
        </w:rPr>
      </w:pPr>
      <w:r>
        <w:rPr>
          <w:rFonts w:hint="eastAsia" w:ascii="仿宋" w:hAnsi="仿宋" w:eastAsia="仿宋" w:cs="仿宋"/>
        </w:rPr>
        <w:t>为采购人不具有独立法人资格的附属机构（单位）；</w:t>
      </w:r>
    </w:p>
    <w:p w14:paraId="531611F4">
      <w:pPr>
        <w:pStyle w:val="20"/>
        <w:numPr>
          <w:ilvl w:val="0"/>
          <w:numId w:val="6"/>
        </w:numPr>
        <w:tabs>
          <w:tab w:val="left" w:pos="630"/>
        </w:tabs>
        <w:snapToGrid w:val="0"/>
        <w:spacing w:after="0" w:line="360" w:lineRule="auto"/>
        <w:rPr>
          <w:rFonts w:hint="eastAsia" w:ascii="仿宋" w:hAnsi="仿宋" w:eastAsia="仿宋" w:cs="仿宋"/>
        </w:rPr>
      </w:pPr>
      <w:r>
        <w:rPr>
          <w:rFonts w:hint="eastAsia" w:ascii="仿宋" w:hAnsi="仿宋" w:eastAsia="仿宋" w:cs="仿宋"/>
        </w:rPr>
        <w:t>被责令停业的；</w:t>
      </w:r>
    </w:p>
    <w:p w14:paraId="10BBACEA">
      <w:pPr>
        <w:pStyle w:val="20"/>
        <w:numPr>
          <w:ilvl w:val="0"/>
          <w:numId w:val="6"/>
        </w:numPr>
        <w:tabs>
          <w:tab w:val="left" w:pos="630"/>
        </w:tabs>
        <w:snapToGrid w:val="0"/>
        <w:spacing w:after="0" w:line="360" w:lineRule="auto"/>
        <w:rPr>
          <w:rFonts w:hint="eastAsia" w:ascii="仿宋" w:hAnsi="仿宋" w:eastAsia="仿宋" w:cs="仿宋"/>
        </w:rPr>
      </w:pPr>
      <w:r>
        <w:rPr>
          <w:rFonts w:hint="eastAsia" w:ascii="仿宋" w:hAnsi="仿宋" w:eastAsia="仿宋" w:cs="仿宋"/>
        </w:rPr>
        <w:t>被暂停或者取消投标资格的；</w:t>
      </w:r>
    </w:p>
    <w:p w14:paraId="0AE5365F">
      <w:pPr>
        <w:pStyle w:val="20"/>
        <w:numPr>
          <w:ilvl w:val="0"/>
          <w:numId w:val="6"/>
        </w:numPr>
        <w:tabs>
          <w:tab w:val="left" w:pos="630"/>
        </w:tabs>
        <w:snapToGrid w:val="0"/>
        <w:spacing w:after="0" w:line="360" w:lineRule="auto"/>
        <w:rPr>
          <w:rFonts w:hint="eastAsia" w:ascii="仿宋" w:hAnsi="仿宋" w:eastAsia="仿宋" w:cs="仿宋"/>
        </w:rPr>
      </w:pPr>
      <w:r>
        <w:rPr>
          <w:rFonts w:hint="eastAsia" w:ascii="仿宋" w:hAnsi="仿宋" w:eastAsia="仿宋" w:cs="仿宋"/>
        </w:rPr>
        <w:t>财产被接管或者冻结的；</w:t>
      </w:r>
    </w:p>
    <w:p w14:paraId="1663982E">
      <w:pPr>
        <w:pStyle w:val="20"/>
        <w:numPr>
          <w:ilvl w:val="0"/>
          <w:numId w:val="6"/>
        </w:numPr>
        <w:tabs>
          <w:tab w:val="left" w:pos="630"/>
        </w:tabs>
        <w:snapToGrid w:val="0"/>
        <w:spacing w:after="0" w:line="360" w:lineRule="auto"/>
        <w:rPr>
          <w:rFonts w:hint="eastAsia" w:ascii="仿宋" w:hAnsi="仿宋" w:eastAsia="仿宋" w:cs="仿宋"/>
        </w:rPr>
      </w:pPr>
      <w:r>
        <w:rPr>
          <w:rFonts w:hint="eastAsia" w:ascii="仿宋" w:hAnsi="仿宋" w:eastAsia="仿宋" w:cs="仿宋"/>
        </w:rPr>
        <w:t>在最近三年内有骗取中标、严重违约、重大工程质量或者安全问题的；</w:t>
      </w:r>
    </w:p>
    <w:p w14:paraId="05D1E2FF">
      <w:pPr>
        <w:pStyle w:val="20"/>
        <w:numPr>
          <w:ilvl w:val="0"/>
          <w:numId w:val="6"/>
        </w:numPr>
        <w:tabs>
          <w:tab w:val="left" w:pos="630"/>
        </w:tabs>
        <w:snapToGrid w:val="0"/>
        <w:spacing w:after="0" w:line="360" w:lineRule="auto"/>
        <w:rPr>
          <w:rFonts w:hint="eastAsia" w:ascii="仿宋" w:hAnsi="仿宋" w:eastAsia="仿宋" w:cs="仿宋"/>
        </w:rPr>
      </w:pPr>
      <w:r>
        <w:rPr>
          <w:rFonts w:hint="eastAsia" w:ascii="仿宋" w:hAnsi="仿宋" w:eastAsia="仿宋" w:cs="仿宋"/>
        </w:rPr>
        <w:t>法律法规规定的其他情形；</w:t>
      </w:r>
    </w:p>
    <w:p w14:paraId="5FFE12A6">
      <w:pPr>
        <w:pStyle w:val="20"/>
        <w:numPr>
          <w:ilvl w:val="0"/>
          <w:numId w:val="6"/>
        </w:numPr>
        <w:tabs>
          <w:tab w:val="left" w:pos="630"/>
        </w:tabs>
        <w:snapToGrid w:val="0"/>
        <w:spacing w:after="0" w:line="360" w:lineRule="auto"/>
        <w:rPr>
          <w:rFonts w:hint="eastAsia" w:ascii="仿宋" w:hAnsi="仿宋" w:eastAsia="仿宋" w:cs="仿宋"/>
        </w:rPr>
      </w:pPr>
      <w:r>
        <w:rPr>
          <w:rFonts w:hint="eastAsia" w:ascii="仿宋" w:hAnsi="仿宋" w:eastAsia="仿宋" w:cs="仿宋"/>
        </w:rPr>
        <w:t>招标文件规定的其他情形：见供应商须知前附表。</w:t>
      </w:r>
    </w:p>
    <w:p w14:paraId="311E451E">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8.2单位负责人为同一人或者存在控股、管理关系的不同单位，不得同时参加本项目中同一标段投标或者未划分标段的招标项目投标。</w:t>
      </w:r>
    </w:p>
    <w:p w14:paraId="714E6F6E">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36" w:name="_Toc227057890"/>
      <w:bookmarkStart w:id="137" w:name="_Toc447188676"/>
      <w:bookmarkStart w:id="138" w:name="_Toc226969284"/>
      <w:bookmarkStart w:id="139" w:name="_Toc15978"/>
      <w:bookmarkStart w:id="140" w:name="_Toc23529"/>
      <w:bookmarkStart w:id="141" w:name="_Toc8135"/>
      <w:bookmarkStart w:id="142" w:name="_Toc1969"/>
      <w:bookmarkStart w:id="143" w:name="_Toc447265511"/>
      <w:bookmarkStart w:id="144" w:name="_Toc107822487"/>
      <w:bookmarkStart w:id="145" w:name="_Toc447265225"/>
      <w:r>
        <w:rPr>
          <w:rFonts w:hint="eastAsia" w:ascii="仿宋" w:hAnsi="仿宋" w:eastAsia="仿宋" w:cs="仿宋"/>
          <w:sz w:val="24"/>
          <w:szCs w:val="24"/>
        </w:rPr>
        <w:t>9.合格的货物和服务</w:t>
      </w:r>
      <w:bookmarkEnd w:id="136"/>
      <w:bookmarkEnd w:id="137"/>
      <w:bookmarkEnd w:id="138"/>
      <w:bookmarkEnd w:id="139"/>
      <w:bookmarkEnd w:id="140"/>
      <w:bookmarkEnd w:id="141"/>
      <w:bookmarkEnd w:id="142"/>
      <w:bookmarkEnd w:id="143"/>
      <w:bookmarkEnd w:id="144"/>
      <w:bookmarkEnd w:id="145"/>
    </w:p>
    <w:p w14:paraId="6915BF80">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9.1供应商提供的所有货物及其有关服务的原产地，均应当来自中国或者是与中国有正常贸易往来的国家或者地区。采购人的支付也仅限于这些货物和服务。</w:t>
      </w:r>
    </w:p>
    <w:p w14:paraId="02608B1D">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9.2本招标文件所属的“原产地”是指货物开采、生长、生产或者提供有关服务的来源地。所述的“货物”是指制造、加工或者实质上装配了主要部件而形成的货物。商业上公认的产品是指基本特征、性能或者功能上与部件有着实质性区别的产品。</w:t>
      </w:r>
    </w:p>
    <w:p w14:paraId="4CC58371">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9.3供应商提供的所有货物及其有关服务应当符合国家规定的资格条件。</w:t>
      </w:r>
    </w:p>
    <w:p w14:paraId="505070D3">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46" w:name="_Toc16272"/>
      <w:bookmarkStart w:id="147" w:name="_Toc447188677"/>
      <w:bookmarkStart w:id="148" w:name="_Toc107822488"/>
      <w:bookmarkStart w:id="149" w:name="_Toc447265512"/>
      <w:bookmarkStart w:id="150" w:name="_Toc227057891"/>
      <w:bookmarkStart w:id="151" w:name="_Toc447265226"/>
      <w:bookmarkStart w:id="152" w:name="_Toc226969285"/>
      <w:bookmarkStart w:id="153" w:name="_Toc26032"/>
      <w:bookmarkStart w:id="154" w:name="_Toc23750"/>
      <w:bookmarkStart w:id="155" w:name="_Toc13013"/>
      <w:r>
        <w:rPr>
          <w:rFonts w:hint="eastAsia" w:ascii="仿宋" w:hAnsi="仿宋" w:eastAsia="仿宋" w:cs="仿宋"/>
          <w:sz w:val="24"/>
          <w:szCs w:val="24"/>
        </w:rPr>
        <w:t>10.投标费用</w:t>
      </w:r>
      <w:bookmarkEnd w:id="146"/>
      <w:bookmarkEnd w:id="147"/>
      <w:bookmarkEnd w:id="148"/>
      <w:bookmarkEnd w:id="149"/>
      <w:bookmarkEnd w:id="150"/>
      <w:bookmarkEnd w:id="151"/>
      <w:bookmarkEnd w:id="152"/>
      <w:bookmarkEnd w:id="153"/>
      <w:bookmarkEnd w:id="154"/>
      <w:bookmarkEnd w:id="155"/>
    </w:p>
    <w:p w14:paraId="39053947">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不论结果如何，供应商自行承担所有准备和参与投标有关的费用。</w:t>
      </w:r>
      <w:bookmarkStart w:id="156" w:name="_Toc107822489"/>
      <w:bookmarkStart w:id="157" w:name="_Toc226969286"/>
      <w:bookmarkStart w:id="158" w:name="_Toc227057892"/>
    </w:p>
    <w:p w14:paraId="18731E7B">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59" w:name="_Toc15744"/>
      <w:bookmarkStart w:id="160" w:name="_Toc447265227"/>
      <w:bookmarkStart w:id="161" w:name="_Toc447265513"/>
      <w:bookmarkStart w:id="162" w:name="_Toc6980"/>
      <w:bookmarkStart w:id="163" w:name="_Toc29934"/>
      <w:bookmarkStart w:id="164" w:name="_Toc13393"/>
      <w:r>
        <w:rPr>
          <w:rFonts w:hint="eastAsia" w:ascii="仿宋" w:hAnsi="仿宋" w:eastAsia="仿宋" w:cs="仿宋"/>
          <w:sz w:val="24"/>
          <w:szCs w:val="24"/>
        </w:rPr>
        <w:t>11.保密</w:t>
      </w:r>
      <w:bookmarkEnd w:id="159"/>
      <w:bookmarkEnd w:id="160"/>
      <w:bookmarkEnd w:id="161"/>
      <w:bookmarkEnd w:id="162"/>
      <w:bookmarkEnd w:id="163"/>
      <w:bookmarkEnd w:id="164"/>
    </w:p>
    <w:p w14:paraId="13650551">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参与招标投标活动的各方应当对招标文件和投标文件中的商业和技术等秘密保密，违者应当对由此造成的后果承担法律责任。</w:t>
      </w:r>
    </w:p>
    <w:p w14:paraId="2589A37C">
      <w:pPr>
        <w:pStyle w:val="14"/>
        <w:numPr>
          <w:ilvl w:val="1"/>
          <w:numId w:val="0"/>
        </w:numPr>
        <w:tabs>
          <w:tab w:val="left" w:pos="588"/>
        </w:tabs>
        <w:snapToGrid w:val="0"/>
        <w:spacing w:before="0" w:after="0" w:line="360" w:lineRule="auto"/>
        <w:jc w:val="left"/>
        <w:outlineLvl w:val="1"/>
        <w:rPr>
          <w:rFonts w:hint="eastAsia" w:ascii="仿宋" w:hAnsi="仿宋" w:eastAsia="仿宋" w:cs="仿宋"/>
          <w:sz w:val="28"/>
          <w:szCs w:val="28"/>
        </w:rPr>
      </w:pPr>
      <w:bookmarkStart w:id="165" w:name="_Toc246996930"/>
      <w:bookmarkStart w:id="166" w:name="_Toc447265228"/>
      <w:bookmarkStart w:id="167" w:name="_Toc296602432"/>
      <w:bookmarkStart w:id="168" w:name="_Toc246996187"/>
      <w:bookmarkStart w:id="169" w:name="_Toc2862"/>
      <w:bookmarkStart w:id="170" w:name="_Toc447265514"/>
      <w:bookmarkStart w:id="171" w:name="_Toc152042318"/>
      <w:bookmarkStart w:id="172" w:name="_Toc5371"/>
      <w:bookmarkStart w:id="173" w:name="_Toc152045542"/>
      <w:bookmarkStart w:id="174" w:name="_Toc25260"/>
      <w:bookmarkStart w:id="175" w:name="_Toc144974510"/>
      <w:bookmarkStart w:id="176" w:name="_Toc247085701"/>
      <w:bookmarkStart w:id="177" w:name="_Toc447188678"/>
      <w:bookmarkStart w:id="178" w:name="_Toc179632560"/>
      <w:bookmarkStart w:id="179" w:name="_Toc16561"/>
      <w:r>
        <w:rPr>
          <w:rFonts w:hint="eastAsia" w:ascii="仿宋" w:hAnsi="仿宋" w:eastAsia="仿宋" w:cs="仿宋"/>
          <w:sz w:val="28"/>
          <w:szCs w:val="28"/>
        </w:rPr>
        <w:t>二、招标文件</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仿宋" w:hAnsi="仿宋" w:eastAsia="仿宋" w:cs="仿宋"/>
          <w:sz w:val="28"/>
          <w:szCs w:val="28"/>
        </w:rPr>
        <w:t xml:space="preserve"> </w:t>
      </w:r>
    </w:p>
    <w:p w14:paraId="2C518239">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80" w:name="_Toc6620"/>
      <w:bookmarkStart w:id="181" w:name="_Toc447265515"/>
      <w:bookmarkStart w:id="182" w:name="_Toc447265229"/>
      <w:bookmarkStart w:id="183" w:name="_Toc7180"/>
      <w:bookmarkStart w:id="184" w:name="_Toc447188679"/>
      <w:bookmarkStart w:id="185" w:name="_Toc10436"/>
      <w:bookmarkStart w:id="186" w:name="_Toc20832"/>
      <w:r>
        <w:rPr>
          <w:rFonts w:hint="eastAsia" w:ascii="仿宋" w:hAnsi="仿宋" w:eastAsia="仿宋" w:cs="仿宋"/>
          <w:sz w:val="24"/>
          <w:szCs w:val="24"/>
        </w:rPr>
        <w:t>1.招标文件</w:t>
      </w:r>
      <w:bookmarkEnd w:id="156"/>
      <w:r>
        <w:rPr>
          <w:rFonts w:hint="eastAsia" w:ascii="仿宋" w:hAnsi="仿宋" w:eastAsia="仿宋" w:cs="仿宋"/>
          <w:sz w:val="24"/>
          <w:szCs w:val="24"/>
        </w:rPr>
        <w:t>的组成</w:t>
      </w:r>
      <w:bookmarkEnd w:id="157"/>
      <w:bookmarkEnd w:id="158"/>
      <w:bookmarkEnd w:id="180"/>
      <w:bookmarkEnd w:id="181"/>
      <w:bookmarkEnd w:id="182"/>
      <w:bookmarkEnd w:id="183"/>
      <w:bookmarkEnd w:id="184"/>
      <w:bookmarkEnd w:id="185"/>
      <w:bookmarkEnd w:id="186"/>
    </w:p>
    <w:p w14:paraId="4DFD84B2">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1.1招标文件一般由以下部分组成：</w:t>
      </w:r>
    </w:p>
    <w:p w14:paraId="11D87F27">
      <w:pPr>
        <w:adjustRightInd w:val="0"/>
        <w:snapToGrid w:val="0"/>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第一章 招标公告</w:t>
      </w:r>
    </w:p>
    <w:p w14:paraId="3992B085">
      <w:pPr>
        <w:adjustRightInd w:val="0"/>
        <w:snapToGrid w:val="0"/>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第二章 供应商须知</w:t>
      </w:r>
    </w:p>
    <w:p w14:paraId="4B8A9E61">
      <w:pPr>
        <w:adjustRightInd w:val="0"/>
        <w:snapToGrid w:val="0"/>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第三章 评标办法</w:t>
      </w:r>
    </w:p>
    <w:p w14:paraId="1FEAD4B2">
      <w:pPr>
        <w:adjustRightInd w:val="0"/>
        <w:snapToGrid w:val="0"/>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第四章 合同条款</w:t>
      </w:r>
    </w:p>
    <w:p w14:paraId="0EEE61E5">
      <w:pPr>
        <w:adjustRightInd w:val="0"/>
        <w:snapToGrid w:val="0"/>
        <w:spacing w:after="0" w:line="360" w:lineRule="auto"/>
        <w:ind w:firstLine="424" w:firstLineChars="202"/>
        <w:rPr>
          <w:rFonts w:hint="default" w:ascii="仿宋" w:hAnsi="仿宋" w:eastAsia="仿宋" w:cs="仿宋"/>
          <w:szCs w:val="21"/>
          <w:lang w:val="en-US" w:eastAsia="zh-CN"/>
        </w:rPr>
      </w:pPr>
      <w:r>
        <w:rPr>
          <w:rFonts w:hint="eastAsia" w:ascii="仿宋" w:hAnsi="仿宋" w:eastAsia="仿宋" w:cs="仿宋"/>
          <w:szCs w:val="21"/>
        </w:rPr>
        <w:t xml:space="preserve">第五章 </w:t>
      </w:r>
      <w:r>
        <w:rPr>
          <w:rFonts w:hint="eastAsia" w:ascii="仿宋" w:hAnsi="仿宋" w:eastAsia="仿宋" w:cs="仿宋"/>
          <w:szCs w:val="21"/>
          <w:lang w:val="en-US" w:eastAsia="zh-CN"/>
        </w:rPr>
        <w:t>服务要求</w:t>
      </w:r>
    </w:p>
    <w:p w14:paraId="6A2E4EA1">
      <w:pPr>
        <w:adjustRightInd w:val="0"/>
        <w:snapToGrid w:val="0"/>
        <w:spacing w:after="0" w:line="360" w:lineRule="auto"/>
        <w:ind w:firstLine="424" w:firstLineChars="202"/>
        <w:rPr>
          <w:rFonts w:hint="eastAsia" w:ascii="仿宋" w:hAnsi="仿宋" w:eastAsia="仿宋" w:cs="仿宋"/>
          <w:szCs w:val="21"/>
        </w:rPr>
      </w:pPr>
      <w:r>
        <w:rPr>
          <w:rFonts w:hint="eastAsia" w:ascii="仿宋" w:hAnsi="仿宋" w:eastAsia="仿宋" w:cs="仿宋"/>
          <w:szCs w:val="21"/>
        </w:rPr>
        <w:t>第六章 投标文件格式</w:t>
      </w:r>
    </w:p>
    <w:p w14:paraId="0D8B586C">
      <w:pPr>
        <w:pStyle w:val="8"/>
        <w:numPr>
          <w:ilvl w:val="2"/>
          <w:numId w:val="0"/>
        </w:numPr>
        <w:tabs>
          <w:tab w:val="left" w:pos="630"/>
        </w:tabs>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采购人另有规定的，见供应商须知前附表</w:t>
      </w:r>
    </w:p>
    <w:p w14:paraId="35CBEA39">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1.2招标文件对同一内容的表述应当一致。第一章“招标公告”或者“投标邀请书”与招标文件在同一内容的表述上有矛盾或者冲突时，以第一章“招标公告”或者“投标邀请书”为准；供应商须知前附表与供应商须知正文在同一内容的表述上有矛盾或者冲突时，以供应商须知前附表为准。</w:t>
      </w:r>
    </w:p>
    <w:p w14:paraId="6AE54F04">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1.3采购人在招标文件中以显著的方式标明实质性要求、条件以及不满足实质性要求和条件的投标将被否决的提示；对于非实质性要求和条件，规定允许偏差的最大范围、最高项数和调整偏差的方法。显著标识方式和具体要求见供应商须知前附表。</w:t>
      </w:r>
    </w:p>
    <w:p w14:paraId="7A154323">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1.4采购人可要求以某一单项报价核定是否低于成本，具体要求见供应商须知前附表。</w:t>
      </w:r>
    </w:p>
    <w:p w14:paraId="1CBD8B21">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87" w:name="_Toc13635"/>
      <w:bookmarkStart w:id="188" w:name="_Toc447265230"/>
      <w:bookmarkStart w:id="189" w:name="_Toc447265516"/>
      <w:bookmarkStart w:id="190" w:name="_Toc3347"/>
      <w:bookmarkStart w:id="191" w:name="_Toc447188680"/>
      <w:bookmarkStart w:id="192" w:name="_Toc11996"/>
      <w:bookmarkStart w:id="193" w:name="_Toc25115"/>
      <w:bookmarkStart w:id="194" w:name="_Toc107822490"/>
      <w:bookmarkStart w:id="195" w:name="_Toc226969287"/>
      <w:bookmarkStart w:id="196" w:name="_Toc227057893"/>
      <w:r>
        <w:rPr>
          <w:rFonts w:hint="eastAsia" w:ascii="仿宋" w:hAnsi="仿宋" w:eastAsia="仿宋" w:cs="仿宋"/>
          <w:sz w:val="24"/>
          <w:szCs w:val="24"/>
        </w:rPr>
        <w:t>2.踏勘现场</w:t>
      </w:r>
      <w:bookmarkEnd w:id="187"/>
      <w:bookmarkEnd w:id="188"/>
      <w:bookmarkEnd w:id="189"/>
      <w:bookmarkEnd w:id="190"/>
      <w:bookmarkEnd w:id="191"/>
      <w:bookmarkEnd w:id="192"/>
      <w:r>
        <w:rPr>
          <w:rFonts w:hint="eastAsia" w:ascii="仿宋" w:hAnsi="仿宋" w:eastAsia="仿宋" w:cs="仿宋"/>
          <w:sz w:val="24"/>
          <w:szCs w:val="24"/>
        </w:rPr>
        <w:t>（如涉及）</w:t>
      </w:r>
      <w:bookmarkEnd w:id="193"/>
    </w:p>
    <w:p w14:paraId="2E8F3CBE">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2.1供应商须知前附表规定组织踏勘现场的，采购人按照供应商须知前附表规定的时间、地点组织供应商踏勘项目现场。</w:t>
      </w:r>
    </w:p>
    <w:p w14:paraId="481A1100">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2.2供应商踏勘现场发生的费用自理。</w:t>
      </w:r>
    </w:p>
    <w:p w14:paraId="2B0B0DE2">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2.3除采购人的原因外，供应商自行负责在踏勘现场中所发生的人员伤亡和财产损失。</w:t>
      </w:r>
    </w:p>
    <w:p w14:paraId="62206B9E">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2.4采购人在踏勘现场中介绍的项目现场和相关的周边环境情况，供应商在编制投标文件时参考，采购人不对供应商据此作出的判断和决策负责。</w:t>
      </w:r>
    </w:p>
    <w:p w14:paraId="10CD8868">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197" w:name="_Toc19331"/>
      <w:bookmarkStart w:id="198" w:name="_Toc9370"/>
      <w:bookmarkStart w:id="199" w:name="_Toc447265517"/>
      <w:bookmarkStart w:id="200" w:name="_Toc447188681"/>
      <w:bookmarkStart w:id="201" w:name="_Toc30241"/>
      <w:bookmarkStart w:id="202" w:name="_Toc21716"/>
      <w:bookmarkStart w:id="203" w:name="_Toc447265231"/>
      <w:r>
        <w:rPr>
          <w:rFonts w:hint="eastAsia" w:ascii="仿宋" w:hAnsi="仿宋" w:eastAsia="仿宋" w:cs="仿宋"/>
          <w:sz w:val="24"/>
          <w:szCs w:val="24"/>
        </w:rPr>
        <w:t>3.投标预备会</w:t>
      </w:r>
      <w:bookmarkEnd w:id="197"/>
      <w:bookmarkEnd w:id="198"/>
      <w:bookmarkEnd w:id="199"/>
      <w:bookmarkEnd w:id="200"/>
      <w:bookmarkEnd w:id="201"/>
      <w:bookmarkEnd w:id="202"/>
      <w:bookmarkEnd w:id="203"/>
    </w:p>
    <w:p w14:paraId="37F6C8DC">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供应商须知前附表规定召开投标预备会的，采购人按照供应商须知前附表规定的时间和地点召开投标预备会，澄清供应商提出的问题。</w:t>
      </w:r>
    </w:p>
    <w:p w14:paraId="118479EA">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04" w:name="_Toc17566"/>
      <w:bookmarkStart w:id="205" w:name="_Toc447188682"/>
      <w:bookmarkStart w:id="206" w:name="_Toc447265518"/>
      <w:bookmarkStart w:id="207" w:name="_Toc20853"/>
      <w:bookmarkStart w:id="208" w:name="_Toc447265232"/>
      <w:bookmarkStart w:id="209" w:name="_Toc1125"/>
      <w:bookmarkStart w:id="210" w:name="_Toc20662"/>
      <w:r>
        <w:rPr>
          <w:rFonts w:hint="eastAsia" w:ascii="仿宋" w:hAnsi="仿宋" w:eastAsia="仿宋" w:cs="仿宋"/>
          <w:sz w:val="24"/>
          <w:szCs w:val="24"/>
        </w:rPr>
        <w:t>4.招标文件的澄清</w:t>
      </w:r>
      <w:bookmarkEnd w:id="194"/>
      <w:bookmarkEnd w:id="195"/>
      <w:bookmarkEnd w:id="196"/>
      <w:r>
        <w:rPr>
          <w:rFonts w:hint="eastAsia" w:ascii="仿宋" w:hAnsi="仿宋" w:eastAsia="仿宋" w:cs="仿宋"/>
          <w:sz w:val="24"/>
          <w:szCs w:val="24"/>
        </w:rPr>
        <w:t>和修改</w:t>
      </w:r>
      <w:bookmarkEnd w:id="204"/>
      <w:bookmarkEnd w:id="205"/>
      <w:bookmarkEnd w:id="206"/>
      <w:bookmarkEnd w:id="207"/>
      <w:bookmarkEnd w:id="208"/>
      <w:bookmarkEnd w:id="209"/>
      <w:bookmarkEnd w:id="210"/>
    </w:p>
    <w:p w14:paraId="2245BF41">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4.1供应商对招标文件有疑问的，应当按照供应商须知前附表规定的时间和方式，要求采购人对招标文件进行澄清。</w:t>
      </w:r>
    </w:p>
    <w:p w14:paraId="68C6F1C2">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4.2采购人应当按照供应商须知前附表规定的时间和方式，将澄清或者修改内容发给所有购买招标文件的供应商，但不指明问题的来源。</w:t>
      </w:r>
    </w:p>
    <w:p w14:paraId="333594D1">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4.3如澄清或者修改的内容可能影响投标文件编制的，应当在递交投标文件截止时间至少15日前发出，不足15日的，采购人应当相应顺延投标截止时间。</w:t>
      </w:r>
    </w:p>
    <w:p w14:paraId="299ADAA3">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4.4供应商收到澄清或者修改后，应当按照供应商须知前附表规定的时间和方式通知采购人，确认已收到该澄清或者修改。</w:t>
      </w:r>
    </w:p>
    <w:p w14:paraId="34C26859">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4.5所有关于招标文件的澄清和修改均作为招标文件的补充部分。当招标文件、招标文件的澄清或者修改等在同一内容的表述上不一致时，以最后发出的书面文件为准。</w:t>
      </w:r>
    </w:p>
    <w:p w14:paraId="2129DC9A">
      <w:pPr>
        <w:pStyle w:val="14"/>
        <w:numPr>
          <w:ilvl w:val="1"/>
          <w:numId w:val="0"/>
        </w:numPr>
        <w:tabs>
          <w:tab w:val="left" w:pos="588"/>
        </w:tabs>
        <w:snapToGrid w:val="0"/>
        <w:spacing w:before="0" w:after="0" w:line="360" w:lineRule="auto"/>
        <w:jc w:val="left"/>
        <w:outlineLvl w:val="1"/>
        <w:rPr>
          <w:rFonts w:hint="eastAsia" w:ascii="仿宋" w:hAnsi="仿宋" w:eastAsia="仿宋" w:cs="仿宋"/>
          <w:sz w:val="28"/>
          <w:szCs w:val="28"/>
        </w:rPr>
      </w:pPr>
      <w:bookmarkStart w:id="211" w:name="_Toc247085705"/>
      <w:bookmarkStart w:id="212" w:name="_Toc152042322"/>
      <w:bookmarkStart w:id="213" w:name="_Toc152045546"/>
      <w:bookmarkStart w:id="214" w:name="_Toc144974514"/>
      <w:bookmarkStart w:id="215" w:name="_Toc12974"/>
      <w:bookmarkStart w:id="216" w:name="_Toc296602436"/>
      <w:bookmarkStart w:id="217" w:name="_Toc447188683"/>
      <w:bookmarkStart w:id="218" w:name="_Toc447265519"/>
      <w:bookmarkStart w:id="219" w:name="_Toc246996934"/>
      <w:bookmarkStart w:id="220" w:name="_Toc179632564"/>
      <w:bookmarkStart w:id="221" w:name="_Toc246996191"/>
      <w:bookmarkStart w:id="222" w:name="_Toc6965"/>
      <w:bookmarkStart w:id="223" w:name="_Toc78"/>
      <w:bookmarkStart w:id="224" w:name="_Toc447265233"/>
      <w:bookmarkStart w:id="225" w:name="_Toc16999"/>
      <w:bookmarkStart w:id="226" w:name="_Toc226969289"/>
      <w:bookmarkStart w:id="227" w:name="_Toc227057895"/>
      <w:bookmarkStart w:id="228" w:name="_Toc107822492"/>
      <w:r>
        <w:rPr>
          <w:rFonts w:hint="eastAsia" w:ascii="仿宋" w:hAnsi="仿宋" w:eastAsia="仿宋" w:cs="仿宋"/>
          <w:sz w:val="28"/>
          <w:szCs w:val="28"/>
        </w:rPr>
        <w:t>三、投标文件</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5E00B13F">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29" w:name="_Toc226969290"/>
      <w:bookmarkStart w:id="230" w:name="_Toc227057896"/>
      <w:bookmarkStart w:id="231" w:name="_Toc107822493"/>
      <w:bookmarkStart w:id="232" w:name="_Toc27039"/>
      <w:bookmarkStart w:id="233" w:name="_Toc2157"/>
      <w:bookmarkStart w:id="234" w:name="_Toc447265234"/>
      <w:bookmarkStart w:id="235" w:name="_Toc447188684"/>
      <w:bookmarkStart w:id="236" w:name="_Toc30656"/>
      <w:bookmarkStart w:id="237" w:name="_Toc447265520"/>
      <w:bookmarkStart w:id="238" w:name="_Toc20817"/>
      <w:r>
        <w:rPr>
          <w:rFonts w:hint="eastAsia" w:ascii="仿宋" w:hAnsi="仿宋" w:eastAsia="仿宋" w:cs="仿宋"/>
          <w:sz w:val="24"/>
          <w:szCs w:val="24"/>
        </w:rPr>
        <w:t>1.投标文件的</w:t>
      </w:r>
      <w:bookmarkEnd w:id="229"/>
      <w:bookmarkEnd w:id="230"/>
      <w:bookmarkEnd w:id="231"/>
      <w:r>
        <w:rPr>
          <w:rFonts w:hint="eastAsia" w:ascii="仿宋" w:hAnsi="仿宋" w:eastAsia="仿宋" w:cs="仿宋"/>
          <w:sz w:val="24"/>
          <w:szCs w:val="24"/>
        </w:rPr>
        <w:t>组成</w:t>
      </w:r>
      <w:bookmarkEnd w:id="232"/>
      <w:bookmarkEnd w:id="233"/>
      <w:bookmarkEnd w:id="234"/>
      <w:bookmarkEnd w:id="235"/>
      <w:bookmarkEnd w:id="236"/>
      <w:bookmarkEnd w:id="237"/>
      <w:bookmarkEnd w:id="238"/>
    </w:p>
    <w:p w14:paraId="5B9CABA8">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供应商应当按照供应商须知前附表的要求制作并递交投标文件。投标文件组成见供应商须知前附表。</w:t>
      </w:r>
    </w:p>
    <w:p w14:paraId="247229D8">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39" w:name="_Toc25677"/>
      <w:bookmarkStart w:id="240" w:name="_Toc1341"/>
      <w:bookmarkStart w:id="241" w:name="_Toc447265235"/>
      <w:bookmarkStart w:id="242" w:name="_Toc13066"/>
      <w:bookmarkStart w:id="243" w:name="_Toc447188685"/>
      <w:bookmarkStart w:id="244" w:name="_Toc447265521"/>
      <w:bookmarkStart w:id="245" w:name="_Toc6832"/>
      <w:r>
        <w:rPr>
          <w:rFonts w:hint="eastAsia" w:ascii="仿宋" w:hAnsi="仿宋" w:eastAsia="仿宋" w:cs="仿宋"/>
          <w:sz w:val="24"/>
          <w:szCs w:val="24"/>
        </w:rPr>
        <w:t>2.投标文件的</w:t>
      </w:r>
      <w:bookmarkEnd w:id="226"/>
      <w:bookmarkEnd w:id="227"/>
      <w:bookmarkEnd w:id="228"/>
      <w:r>
        <w:rPr>
          <w:rFonts w:hint="eastAsia" w:ascii="仿宋" w:hAnsi="仿宋" w:eastAsia="仿宋" w:cs="仿宋"/>
          <w:sz w:val="24"/>
          <w:szCs w:val="24"/>
        </w:rPr>
        <w:t>编制</w:t>
      </w:r>
      <w:bookmarkEnd w:id="239"/>
      <w:bookmarkEnd w:id="240"/>
      <w:bookmarkEnd w:id="241"/>
      <w:bookmarkEnd w:id="242"/>
      <w:bookmarkEnd w:id="243"/>
      <w:bookmarkEnd w:id="244"/>
      <w:bookmarkEnd w:id="245"/>
    </w:p>
    <w:p w14:paraId="4ABC06D4">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2.1供应商应当按照招标文件的要求编制投标文件，投标文件应当对招标文件提出的实质性要求和条件作出响应。</w:t>
      </w:r>
    </w:p>
    <w:p w14:paraId="2A5ED82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2.2供应商应当认真阅读招标文件中所有的事项、格式、条款和技术规范等。供应商没有按照招标文件要求递交全部资料或者供应商没有对招标文件在各方面都作出实质性响应是供应商的风险，并可能导致其投标被否决。投标文件应答和编写的具体要求见供应商须知前附表。</w:t>
      </w:r>
    </w:p>
    <w:p w14:paraId="1397CBB5">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2.3供应商递交的投标文件以及供应商与采购人就有关投标的所有往来函电均应当使用中文。供应商递交的证明文件和文献可以使用另一种语言，但相应内容应当译成中文，在解释投标文件时以中文译本为准。</w:t>
      </w:r>
    </w:p>
    <w:p w14:paraId="416E8950">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2.4投标文件应加盖单位公章或者由供应商的法定代表人或者其委托代理人签字。委托代理人签字的，投标文件应当附法定代表人签署的授权委托书。投标文件应当尽量避免涂改、行间插字或者删除。如果出现上述情况，改动之处应当加盖单位公章或者由供应商的法定代表人或者其委托代理人签字确认。盖章或者签字另有要求的，见供应商须知前附表。</w:t>
      </w:r>
    </w:p>
    <w:p w14:paraId="4896A27F">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46" w:name="_Toc13204"/>
      <w:bookmarkStart w:id="247" w:name="_Toc29971"/>
      <w:bookmarkStart w:id="248" w:name="_Toc447265236"/>
      <w:bookmarkStart w:id="249" w:name="_Toc30937"/>
      <w:bookmarkStart w:id="250" w:name="_Toc447265522"/>
      <w:bookmarkStart w:id="251" w:name="_Toc18987"/>
      <w:bookmarkStart w:id="252" w:name="_Toc227057898"/>
      <w:bookmarkStart w:id="253" w:name="_Toc447188686"/>
      <w:bookmarkStart w:id="254" w:name="_Toc226969292"/>
      <w:bookmarkStart w:id="255" w:name="_Toc107822495"/>
      <w:r>
        <w:rPr>
          <w:rFonts w:hint="eastAsia" w:ascii="仿宋" w:hAnsi="仿宋" w:eastAsia="仿宋" w:cs="仿宋"/>
          <w:sz w:val="24"/>
          <w:szCs w:val="24"/>
        </w:rPr>
        <w:t>3投标报价</w:t>
      </w:r>
      <w:bookmarkEnd w:id="246"/>
      <w:bookmarkEnd w:id="247"/>
      <w:bookmarkEnd w:id="248"/>
      <w:bookmarkEnd w:id="249"/>
      <w:bookmarkEnd w:id="250"/>
      <w:bookmarkEnd w:id="251"/>
      <w:bookmarkEnd w:id="252"/>
      <w:bookmarkEnd w:id="253"/>
      <w:bookmarkEnd w:id="254"/>
      <w:bookmarkEnd w:id="255"/>
    </w:p>
    <w:p w14:paraId="55E4B335">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3.1供应商应当根据招标文件要求进行报价，供应商应当报出符合招标文件要求的拟提供投标货物的单价（如适用）和总价。</w:t>
      </w:r>
    </w:p>
    <w:p w14:paraId="41BBE6A0">
      <w:pPr>
        <w:pStyle w:val="8"/>
        <w:numPr>
          <w:ilvl w:val="2"/>
          <w:numId w:val="0"/>
        </w:numPr>
        <w:tabs>
          <w:tab w:val="left" w:pos="630"/>
          <w:tab w:val="left" w:pos="1191"/>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3.2投标货币：人民币。</w:t>
      </w:r>
    </w:p>
    <w:p w14:paraId="608B50F4">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3.3采购人设有最高投标限价的，供应商的投标报价不得超过最高投标限价，否则其投标将被否决。最高投标限价或者其计算方法见供应商须知前附表。</w:t>
      </w:r>
    </w:p>
    <w:p w14:paraId="5BAD8FC2">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3.4采购人不接受供应商的任何低于成本报价的不正当竞争方式。</w:t>
      </w:r>
    </w:p>
    <w:p w14:paraId="2C70EDA1">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3.5只有在招标文件要求或者允许报优惠价时，供应商才可以报出。供应商优惠报价的数额，开标时也必须当众宣读。关于优惠条件的规定见供应商须知前附表。</w:t>
      </w:r>
    </w:p>
    <w:p w14:paraId="0358FF67">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3.6投标报价的具体要求见供应商须知前附表。</w:t>
      </w:r>
    </w:p>
    <w:p w14:paraId="084AB198">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56" w:name="_Toc107822500"/>
      <w:bookmarkStart w:id="257" w:name="_Toc26274"/>
      <w:bookmarkStart w:id="258" w:name="_Toc447265523"/>
      <w:bookmarkStart w:id="259" w:name="_Toc227057902"/>
      <w:bookmarkStart w:id="260" w:name="_Toc7735"/>
      <w:bookmarkStart w:id="261" w:name="_Toc25432"/>
      <w:bookmarkStart w:id="262" w:name="_Toc226969296"/>
      <w:bookmarkStart w:id="263" w:name="_Toc6067"/>
      <w:bookmarkStart w:id="264" w:name="_Toc447188687"/>
      <w:bookmarkStart w:id="265" w:name="_Toc447265237"/>
      <w:bookmarkStart w:id="266" w:name="_Toc107822499"/>
      <w:bookmarkStart w:id="267" w:name="_Toc227057901"/>
      <w:bookmarkStart w:id="268" w:name="_Toc226969295"/>
      <w:r>
        <w:rPr>
          <w:rFonts w:hint="eastAsia" w:ascii="仿宋" w:hAnsi="仿宋" w:eastAsia="仿宋" w:cs="仿宋"/>
          <w:sz w:val="24"/>
          <w:szCs w:val="24"/>
        </w:rPr>
        <w:t>4.投标有效期</w:t>
      </w:r>
      <w:bookmarkEnd w:id="256"/>
      <w:bookmarkEnd w:id="257"/>
      <w:bookmarkEnd w:id="258"/>
      <w:bookmarkEnd w:id="259"/>
      <w:bookmarkEnd w:id="260"/>
      <w:bookmarkEnd w:id="261"/>
      <w:bookmarkEnd w:id="262"/>
      <w:bookmarkEnd w:id="263"/>
      <w:bookmarkEnd w:id="264"/>
      <w:bookmarkEnd w:id="265"/>
    </w:p>
    <w:p w14:paraId="348BB6E9">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4.1投标有效期从递交投标文件截止之日起计算。投标有效期的具体时间见供应商须知前附表。在此期间，供应商不得要求撤销或者修改其投标文件。投标有效期不满足招标文件要求的投标将被否决。</w:t>
      </w:r>
    </w:p>
    <w:p w14:paraId="6EF4E64D">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4.2在原定投标有效期满之前，如果出现特殊情况，采购人决定延长投标有效期的，应当以书面形式向供应商提出延长投标有效期的要求，供应商须以书面形式予以答复。供应商同意延长投标有效期的，不得修改其投标文件的实质性内容，但应当相应延长其投标保证金有效期；供应商拒绝延长投标有效期的，其投标失效，供应商有权收回其投标保证金。</w:t>
      </w:r>
    </w:p>
    <w:p w14:paraId="44341A20">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69" w:name="_Toc447188688"/>
      <w:bookmarkStart w:id="270" w:name="_Toc26482"/>
      <w:bookmarkStart w:id="271" w:name="_Toc447265238"/>
      <w:bookmarkStart w:id="272" w:name="_Toc10907"/>
      <w:bookmarkStart w:id="273" w:name="_Toc447265524"/>
      <w:bookmarkStart w:id="274" w:name="_Toc18247"/>
      <w:bookmarkStart w:id="275" w:name="_Toc20889"/>
      <w:r>
        <w:rPr>
          <w:rFonts w:hint="eastAsia" w:ascii="仿宋" w:hAnsi="仿宋" w:eastAsia="仿宋" w:cs="仿宋"/>
          <w:sz w:val="24"/>
          <w:szCs w:val="24"/>
        </w:rPr>
        <w:t>5.投标保证金</w:t>
      </w:r>
      <w:bookmarkEnd w:id="266"/>
      <w:bookmarkEnd w:id="267"/>
      <w:bookmarkEnd w:id="268"/>
      <w:bookmarkEnd w:id="269"/>
      <w:bookmarkEnd w:id="270"/>
      <w:bookmarkEnd w:id="271"/>
      <w:bookmarkEnd w:id="272"/>
      <w:bookmarkEnd w:id="273"/>
      <w:bookmarkEnd w:id="274"/>
      <w:bookmarkEnd w:id="275"/>
    </w:p>
    <w:p w14:paraId="1DDB04B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5.1采购人要求供应商递交投标保证金的，供应商必须在递交投标文件的同时，按照供应商须知前附表的规定递交投标保证金。投标保证金一般不超过项目估算价的2%，但最高不得超过80万元人民币，本招标项目的投标保证金金额见供应商须知前附表。</w:t>
      </w:r>
    </w:p>
    <w:p w14:paraId="7651623B">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5.2采购人可以规定投标保证金是以现金、支票、银行汇票、在中国注册的银行出具的银行保函等方式递交，依法必须进行招标的项目的境内供应商，以现金或者支票形式递交的投标保证金应当从其基本账户转出。投标保证金有效期应当与投标有效期一致。投标保证金的形式见供应商须知前附表。</w:t>
      </w:r>
    </w:p>
    <w:p w14:paraId="2B326BA5">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5.3采购人或者采购代理机构应当自中标通知书发出之日起5个工作日内退还未中标人的投标保证金，自采购合同签订之日起5个工作日内退还中标人的投标保证金。</w:t>
      </w:r>
    </w:p>
    <w:p w14:paraId="4858564F">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5.4下列任何情况发生时，投标保证金可不予退还：</w:t>
      </w:r>
    </w:p>
    <w:p w14:paraId="7FF3E578">
      <w:pPr>
        <w:pStyle w:val="20"/>
        <w:numPr>
          <w:ilvl w:val="0"/>
          <w:numId w:val="7"/>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供应商在招标文件中规定的投标有效期内撤销投标的；</w:t>
      </w:r>
    </w:p>
    <w:p w14:paraId="4AB72574">
      <w:pPr>
        <w:pStyle w:val="20"/>
        <w:numPr>
          <w:ilvl w:val="0"/>
          <w:numId w:val="7"/>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中标人无正当理由不与采购人订立合同，在签订合同时向采购人提出附加条件，或者不按照招标文件要求递交履约保证金的；</w:t>
      </w:r>
    </w:p>
    <w:p w14:paraId="6F24AC87">
      <w:pPr>
        <w:pStyle w:val="20"/>
        <w:numPr>
          <w:ilvl w:val="0"/>
          <w:numId w:val="7"/>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供应商有串通投标、弄虚作假等行为的；</w:t>
      </w:r>
    </w:p>
    <w:p w14:paraId="6CFBABA1">
      <w:pPr>
        <w:pStyle w:val="20"/>
        <w:numPr>
          <w:ilvl w:val="0"/>
          <w:numId w:val="7"/>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其他规定见供应商须知前附表。</w:t>
      </w:r>
    </w:p>
    <w:p w14:paraId="0DF4319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5.5未递交投标保证金或者递交的投标保证金有瑕疵的投标将被否决。</w:t>
      </w:r>
    </w:p>
    <w:p w14:paraId="6C1FD35C">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76" w:name="_Toc226969297"/>
      <w:bookmarkStart w:id="277" w:name="_Toc7572"/>
      <w:bookmarkStart w:id="278" w:name="_Toc27557"/>
      <w:bookmarkStart w:id="279" w:name="_Toc447265239"/>
      <w:bookmarkStart w:id="280" w:name="_Toc227057903"/>
      <w:bookmarkStart w:id="281" w:name="_Toc447265525"/>
      <w:bookmarkStart w:id="282" w:name="_Toc447188689"/>
      <w:bookmarkStart w:id="283" w:name="_Toc19961"/>
      <w:bookmarkStart w:id="284" w:name="_Toc10117"/>
      <w:bookmarkStart w:id="285" w:name="_Toc107822501"/>
      <w:r>
        <w:rPr>
          <w:rFonts w:hint="eastAsia" w:ascii="仿宋" w:hAnsi="仿宋" w:eastAsia="仿宋" w:cs="仿宋"/>
          <w:sz w:val="24"/>
          <w:szCs w:val="24"/>
        </w:rPr>
        <w:t>6.</w:t>
      </w:r>
      <w:bookmarkEnd w:id="276"/>
      <w:bookmarkEnd w:id="277"/>
      <w:bookmarkEnd w:id="278"/>
      <w:bookmarkEnd w:id="279"/>
      <w:bookmarkEnd w:id="280"/>
      <w:bookmarkEnd w:id="281"/>
      <w:bookmarkEnd w:id="282"/>
      <w:r>
        <w:rPr>
          <w:rFonts w:hint="eastAsia" w:ascii="仿宋" w:hAnsi="仿宋" w:eastAsia="仿宋" w:cs="仿宋"/>
          <w:sz w:val="24"/>
          <w:szCs w:val="24"/>
        </w:rPr>
        <w:t>备选方案</w:t>
      </w:r>
      <w:bookmarkEnd w:id="283"/>
      <w:bookmarkEnd w:id="284"/>
    </w:p>
    <w:p w14:paraId="1BFC5846">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6.1除供应商须知前附表另有规定外，供应商不得递交备选方案。</w:t>
      </w:r>
    </w:p>
    <w:p w14:paraId="3AD345FA">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6.2若采购人在招标文件中邀请供应商递交备选方案时，则供应商除按照招标文件规定的基本方案编制和递交投标文件外，可以附加递交备选方案。</w:t>
      </w:r>
    </w:p>
    <w:p w14:paraId="56306BC6">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6.3备选方案应当说明其对基本方案的改进意见和带来的效益，并附必要的图纸、设计计算、技术要求及其它有关资料，在封面上应当注明“备选方案”字样。</w:t>
      </w:r>
    </w:p>
    <w:p w14:paraId="1AA3709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6.4允许供应商递交备选方案的，只有符合招标文件要求且评标价最低或者综合评分最高而被推荐为中标候选人的供应商所递交的备选方案，可予以考虑。评标委员会认为其备选方案优于其按照招标文件要求编制的供应商案的，采购人可以接受该备选方案。</w:t>
      </w:r>
    </w:p>
    <w:p w14:paraId="0B23D6CF">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286" w:name="_Toc226969298"/>
      <w:bookmarkStart w:id="287" w:name="_Toc227057904"/>
      <w:bookmarkStart w:id="288" w:name="_Toc24557"/>
      <w:bookmarkStart w:id="289" w:name="_Toc7862"/>
      <w:bookmarkStart w:id="290" w:name="_Toc447188690"/>
      <w:bookmarkStart w:id="291" w:name="_Toc447265526"/>
      <w:bookmarkStart w:id="292" w:name="_Toc10827"/>
      <w:bookmarkStart w:id="293" w:name="_Toc14266"/>
      <w:bookmarkStart w:id="294" w:name="_Toc447265240"/>
      <w:r>
        <w:rPr>
          <w:rFonts w:hint="eastAsia" w:ascii="仿宋" w:hAnsi="仿宋" w:eastAsia="仿宋" w:cs="仿宋"/>
          <w:sz w:val="24"/>
          <w:szCs w:val="24"/>
        </w:rPr>
        <w:t>7.投标文件的式样</w:t>
      </w:r>
      <w:bookmarkEnd w:id="285"/>
      <w:bookmarkEnd w:id="286"/>
      <w:bookmarkEnd w:id="287"/>
      <w:r>
        <w:rPr>
          <w:rFonts w:hint="eastAsia" w:ascii="仿宋" w:hAnsi="仿宋" w:eastAsia="仿宋" w:cs="仿宋"/>
          <w:sz w:val="24"/>
          <w:szCs w:val="24"/>
        </w:rPr>
        <w:t>、密封和标记</w:t>
      </w:r>
      <w:bookmarkEnd w:id="288"/>
      <w:bookmarkEnd w:id="289"/>
      <w:bookmarkEnd w:id="290"/>
      <w:bookmarkEnd w:id="291"/>
      <w:bookmarkEnd w:id="292"/>
      <w:bookmarkEnd w:id="293"/>
      <w:bookmarkEnd w:id="294"/>
    </w:p>
    <w:p w14:paraId="78F47745">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7.1非加密版电子投标文件与上传系统的加密版电子文件不一致时以加密版的电子文件为准。</w:t>
      </w:r>
    </w:p>
    <w:p w14:paraId="55909B7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7.2投标文件应当按照招标文件规定密封包装，并于封装封面上明确标明“电子版”字样。密封的所有粘接缝隙必须加盖单位公章或者由供应商的法定代表人或者其委托代理人签字。</w:t>
      </w:r>
    </w:p>
    <w:p w14:paraId="27A9C2F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7.3外层包封应当写明采购人名称和地址、项目名称、项目编号、并注明开标时间以前不得开封。还应当写明供应商的名称与地址、邮政编码，以便投标出现逾期送达时能原封退回。</w:t>
      </w:r>
    </w:p>
    <w:p w14:paraId="36A9F658">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7.4采购人对于投标文件密封、标记另有要求的，见供应商须知前附表。</w:t>
      </w:r>
    </w:p>
    <w:p w14:paraId="315C5BAC">
      <w:pPr>
        <w:pStyle w:val="14"/>
        <w:numPr>
          <w:ilvl w:val="1"/>
          <w:numId w:val="0"/>
        </w:numPr>
        <w:tabs>
          <w:tab w:val="left" w:pos="588"/>
        </w:tabs>
        <w:snapToGrid w:val="0"/>
        <w:spacing w:before="0" w:after="0" w:line="360" w:lineRule="auto"/>
        <w:jc w:val="left"/>
        <w:outlineLvl w:val="1"/>
        <w:rPr>
          <w:rFonts w:hint="eastAsia" w:ascii="仿宋" w:hAnsi="仿宋" w:eastAsia="仿宋" w:cs="仿宋"/>
          <w:sz w:val="28"/>
          <w:szCs w:val="28"/>
        </w:rPr>
      </w:pPr>
      <w:bookmarkStart w:id="295" w:name="_Toc447265528"/>
      <w:bookmarkStart w:id="296" w:name="_Toc27300"/>
      <w:bookmarkStart w:id="297" w:name="_Toc32601"/>
      <w:bookmarkStart w:id="298" w:name="_Toc29188"/>
      <w:bookmarkStart w:id="299" w:name="_Toc184635074"/>
      <w:bookmarkStart w:id="300" w:name="_Toc447265242"/>
      <w:bookmarkStart w:id="301" w:name="_Toc13045"/>
      <w:bookmarkStart w:id="302" w:name="_Toc107822503"/>
      <w:bookmarkStart w:id="303" w:name="_Toc488655848"/>
      <w:bookmarkStart w:id="304" w:name="_Toc226969300"/>
      <w:bookmarkStart w:id="305" w:name="_Toc227057906"/>
      <w:r>
        <w:rPr>
          <w:rFonts w:hint="eastAsia" w:ascii="仿宋" w:hAnsi="仿宋" w:eastAsia="仿宋" w:cs="仿宋"/>
          <w:sz w:val="28"/>
          <w:szCs w:val="28"/>
        </w:rPr>
        <w:t>四、投标</w:t>
      </w:r>
      <w:bookmarkEnd w:id="295"/>
      <w:bookmarkEnd w:id="296"/>
      <w:bookmarkEnd w:id="297"/>
      <w:bookmarkEnd w:id="298"/>
      <w:bookmarkEnd w:id="299"/>
      <w:bookmarkEnd w:id="300"/>
      <w:bookmarkEnd w:id="301"/>
    </w:p>
    <w:p w14:paraId="3F3596D2">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306" w:name="_Toc6906"/>
      <w:bookmarkStart w:id="307" w:name="_Toc447265529"/>
      <w:bookmarkStart w:id="308" w:name="_Toc13567"/>
      <w:bookmarkStart w:id="309" w:name="_Toc28575"/>
      <w:bookmarkStart w:id="310" w:name="_Toc447265243"/>
      <w:bookmarkStart w:id="311" w:name="_Toc1047"/>
      <w:bookmarkStart w:id="312" w:name="_Toc447188692"/>
      <w:r>
        <w:rPr>
          <w:rFonts w:hint="eastAsia" w:ascii="仿宋" w:hAnsi="仿宋" w:eastAsia="仿宋" w:cs="仿宋"/>
          <w:sz w:val="24"/>
          <w:szCs w:val="24"/>
        </w:rPr>
        <w:t>1.投标</w:t>
      </w:r>
      <w:bookmarkEnd w:id="302"/>
      <w:bookmarkEnd w:id="303"/>
      <w:r>
        <w:rPr>
          <w:rFonts w:hint="eastAsia" w:ascii="仿宋" w:hAnsi="仿宋" w:eastAsia="仿宋" w:cs="仿宋"/>
          <w:sz w:val="24"/>
          <w:szCs w:val="24"/>
        </w:rPr>
        <w:t>文件的递交</w:t>
      </w:r>
      <w:bookmarkEnd w:id="304"/>
      <w:bookmarkEnd w:id="305"/>
      <w:bookmarkEnd w:id="306"/>
      <w:bookmarkEnd w:id="307"/>
      <w:bookmarkEnd w:id="308"/>
      <w:bookmarkEnd w:id="309"/>
      <w:bookmarkEnd w:id="310"/>
      <w:bookmarkEnd w:id="311"/>
      <w:bookmarkEnd w:id="312"/>
    </w:p>
    <w:p w14:paraId="05E7DF1E">
      <w:pPr>
        <w:pStyle w:val="8"/>
        <w:numPr>
          <w:ilvl w:val="2"/>
          <w:numId w:val="0"/>
        </w:numPr>
        <w:tabs>
          <w:tab w:val="left" w:pos="630"/>
        </w:tabs>
        <w:snapToGrid w:val="0"/>
        <w:spacing w:after="0" w:line="360" w:lineRule="auto"/>
        <w:ind w:firstLine="420" w:firstLineChars="200"/>
        <w:rPr>
          <w:rFonts w:hint="eastAsia" w:ascii="仿宋" w:hAnsi="仿宋" w:eastAsia="仿宋" w:cs="仿宋"/>
        </w:rPr>
      </w:pPr>
      <w:bookmarkStart w:id="313" w:name="_Toc107822504"/>
      <w:bookmarkStart w:id="314" w:name="_Toc488655849"/>
      <w:r>
        <w:rPr>
          <w:rFonts w:hint="eastAsia" w:ascii="仿宋" w:hAnsi="仿宋" w:eastAsia="仿宋" w:cs="仿宋"/>
        </w:rPr>
        <w:t>1.1投标文件递交截止时间：详见招标文件。</w:t>
      </w:r>
    </w:p>
    <w:p w14:paraId="2B6739C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1.2投标文件递交地点：详见招标文件。</w:t>
      </w:r>
    </w:p>
    <w:p w14:paraId="32210DEB">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1.3采购人收到投标文件后，向供应商出具签收凭证。</w:t>
      </w:r>
    </w:p>
    <w:p w14:paraId="391FBCC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1.4除供应商须知前附表另有规定外，供应商所递交的投标文件不予退还。</w:t>
      </w:r>
    </w:p>
    <w:p w14:paraId="119AC271">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1.5出现以下情形时，采购人/招标代理机构不予接收投标文件：</w:t>
      </w:r>
    </w:p>
    <w:p w14:paraId="792224D7">
      <w:pPr>
        <w:pStyle w:val="20"/>
        <w:numPr>
          <w:ilvl w:val="0"/>
          <w:numId w:val="8"/>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逾期送达或者未送达指定地点的；</w:t>
      </w:r>
    </w:p>
    <w:p w14:paraId="2DEC4A5C">
      <w:pPr>
        <w:pStyle w:val="20"/>
        <w:numPr>
          <w:ilvl w:val="0"/>
          <w:numId w:val="8"/>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未按照招标文件要求密封的；</w:t>
      </w:r>
    </w:p>
    <w:p w14:paraId="5CED87CF">
      <w:pPr>
        <w:pStyle w:val="20"/>
        <w:numPr>
          <w:ilvl w:val="0"/>
          <w:numId w:val="8"/>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未通过资格预审的申请人递交的；</w:t>
      </w:r>
    </w:p>
    <w:p w14:paraId="1F7FE89E">
      <w:pPr>
        <w:pStyle w:val="20"/>
        <w:numPr>
          <w:ilvl w:val="0"/>
          <w:numId w:val="8"/>
        </w:numPr>
        <w:tabs>
          <w:tab w:val="left" w:pos="630"/>
        </w:tabs>
        <w:spacing w:after="0" w:line="360" w:lineRule="auto"/>
        <w:ind w:left="0" w:firstLine="420"/>
        <w:rPr>
          <w:rFonts w:hint="eastAsia" w:ascii="仿宋" w:hAnsi="仿宋" w:eastAsia="仿宋" w:cs="仿宋"/>
        </w:rPr>
      </w:pPr>
      <w:r>
        <w:rPr>
          <w:rFonts w:hint="eastAsia" w:ascii="仿宋" w:hAnsi="仿宋" w:eastAsia="仿宋" w:cs="仿宋"/>
        </w:rPr>
        <w:t>未按照第一章“招标公告”或者投标邀请书要求获得本项目招标文件的。</w:t>
      </w:r>
    </w:p>
    <w:p w14:paraId="090BB5C4">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1.6采购人采用电子招标供应商的，投标文件递交异常的处理方式见供应商须知前附表。</w:t>
      </w:r>
    </w:p>
    <w:bookmarkEnd w:id="313"/>
    <w:bookmarkEnd w:id="314"/>
    <w:p w14:paraId="2148D4CE">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315" w:name="_Toc488655850"/>
      <w:bookmarkStart w:id="316" w:name="_Toc226969301"/>
      <w:bookmarkStart w:id="317" w:name="_Toc227057907"/>
      <w:bookmarkStart w:id="318" w:name="_Toc107822505"/>
      <w:bookmarkStart w:id="319" w:name="_Toc447265244"/>
      <w:bookmarkStart w:id="320" w:name="_Toc447265530"/>
      <w:bookmarkStart w:id="321" w:name="_Toc3983"/>
      <w:bookmarkStart w:id="322" w:name="_Toc28002"/>
      <w:bookmarkStart w:id="323" w:name="_Toc5032"/>
      <w:bookmarkStart w:id="324" w:name="_Toc447188693"/>
      <w:bookmarkStart w:id="325" w:name="_Toc19726"/>
      <w:r>
        <w:rPr>
          <w:rFonts w:hint="eastAsia" w:ascii="仿宋" w:hAnsi="仿宋" w:eastAsia="仿宋" w:cs="仿宋"/>
          <w:sz w:val="24"/>
          <w:szCs w:val="24"/>
        </w:rPr>
        <w:t>2.投标文件的修改、撤回</w:t>
      </w:r>
      <w:bookmarkEnd w:id="315"/>
      <w:bookmarkEnd w:id="316"/>
      <w:bookmarkEnd w:id="317"/>
      <w:bookmarkEnd w:id="318"/>
      <w:r>
        <w:rPr>
          <w:rFonts w:hint="eastAsia" w:ascii="仿宋" w:hAnsi="仿宋" w:eastAsia="仿宋" w:cs="仿宋"/>
          <w:sz w:val="24"/>
          <w:szCs w:val="24"/>
        </w:rPr>
        <w:t>和撤销</w:t>
      </w:r>
      <w:bookmarkEnd w:id="319"/>
      <w:bookmarkEnd w:id="320"/>
      <w:bookmarkEnd w:id="321"/>
      <w:bookmarkEnd w:id="322"/>
      <w:bookmarkEnd w:id="323"/>
      <w:bookmarkEnd w:id="324"/>
      <w:bookmarkEnd w:id="325"/>
    </w:p>
    <w:p w14:paraId="0218A9F2">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2.1在规定的投标截止时间前，供应商可以修改或者撤回已递交的投标文件。</w:t>
      </w:r>
    </w:p>
    <w:p w14:paraId="073C6ADB">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2.2供应商修改后的投标文件，应当在规定的投标截止时间前按照招标文件的规定编制、密封、标记、递交。</w:t>
      </w:r>
    </w:p>
    <w:p w14:paraId="33DC010B">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2.3供应商在投标截止时间前撤回已提交的投标文件的，采购人或者采购代理机构应当自收到供应商书面撤回通知之日起５个工作日内，退还已收取的投标保证金，但因供应商自身原因导致无法及时退还的除外。</w:t>
      </w:r>
    </w:p>
    <w:p w14:paraId="1A20D749">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2.4供应商在规定的投标截止时间后，不得在投标有效期内撤销其投标。否则采购人有权不退还其投标保证金。</w:t>
      </w:r>
    </w:p>
    <w:p w14:paraId="78EFBD02">
      <w:pPr>
        <w:pStyle w:val="14"/>
        <w:numPr>
          <w:ilvl w:val="1"/>
          <w:numId w:val="0"/>
        </w:numPr>
        <w:tabs>
          <w:tab w:val="left" w:pos="588"/>
        </w:tabs>
        <w:snapToGrid w:val="0"/>
        <w:spacing w:before="0" w:after="0" w:line="360" w:lineRule="auto"/>
        <w:jc w:val="left"/>
        <w:outlineLvl w:val="1"/>
        <w:rPr>
          <w:rFonts w:hint="eastAsia" w:ascii="仿宋" w:hAnsi="仿宋" w:eastAsia="仿宋" w:cs="仿宋"/>
          <w:sz w:val="28"/>
          <w:szCs w:val="28"/>
        </w:rPr>
      </w:pPr>
      <w:bookmarkStart w:id="326" w:name="_Toc5006"/>
      <w:bookmarkStart w:id="327" w:name="_Toc152045559"/>
      <w:bookmarkStart w:id="328" w:name="_Toc179632577"/>
      <w:bookmarkStart w:id="329" w:name="_Toc246996203"/>
      <w:bookmarkStart w:id="330" w:name="_Toc152042335"/>
      <w:bookmarkStart w:id="331" w:name="_Toc447265531"/>
      <w:bookmarkStart w:id="332" w:name="_Toc246996946"/>
      <w:bookmarkStart w:id="333" w:name="_Toc144974527"/>
      <w:bookmarkStart w:id="334" w:name="_Toc7607"/>
      <w:bookmarkStart w:id="335" w:name="_Toc247085717"/>
      <w:bookmarkStart w:id="336" w:name="_Toc4733"/>
      <w:bookmarkStart w:id="337" w:name="_Toc447188694"/>
      <w:bookmarkStart w:id="338" w:name="_Toc447265245"/>
      <w:bookmarkStart w:id="339" w:name="_Toc296602447"/>
      <w:bookmarkStart w:id="340" w:name="_Toc6599"/>
      <w:bookmarkStart w:id="341" w:name="_Toc227057908"/>
      <w:bookmarkStart w:id="342" w:name="_Toc488655852"/>
      <w:bookmarkStart w:id="343" w:name="_Toc226969302"/>
      <w:bookmarkStart w:id="344" w:name="_Toc107822506"/>
      <w:r>
        <w:rPr>
          <w:rFonts w:hint="eastAsia" w:ascii="仿宋" w:hAnsi="仿宋" w:eastAsia="仿宋" w:cs="仿宋"/>
          <w:sz w:val="28"/>
          <w:szCs w:val="28"/>
        </w:rPr>
        <w:t>五、开标</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2032E1BD">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345" w:name="_Toc447188695"/>
      <w:bookmarkStart w:id="346" w:name="_Toc12091"/>
      <w:bookmarkStart w:id="347" w:name="_Toc12211"/>
      <w:bookmarkStart w:id="348" w:name="_Toc447265532"/>
      <w:bookmarkStart w:id="349" w:name="_Toc447265246"/>
      <w:bookmarkStart w:id="350" w:name="_Toc644"/>
      <w:bookmarkStart w:id="351" w:name="_Toc16117"/>
      <w:r>
        <w:rPr>
          <w:rFonts w:hint="eastAsia" w:ascii="仿宋" w:hAnsi="仿宋" w:eastAsia="仿宋" w:cs="仿宋"/>
          <w:sz w:val="24"/>
          <w:szCs w:val="24"/>
        </w:rPr>
        <w:t>1.开标</w:t>
      </w:r>
      <w:bookmarkEnd w:id="341"/>
      <w:bookmarkEnd w:id="342"/>
      <w:bookmarkEnd w:id="343"/>
      <w:bookmarkEnd w:id="344"/>
      <w:r>
        <w:rPr>
          <w:rFonts w:hint="eastAsia" w:ascii="仿宋" w:hAnsi="仿宋" w:eastAsia="仿宋" w:cs="仿宋"/>
          <w:sz w:val="24"/>
          <w:szCs w:val="24"/>
        </w:rPr>
        <w:t>时间和地点</w:t>
      </w:r>
      <w:bookmarkEnd w:id="345"/>
      <w:bookmarkEnd w:id="346"/>
      <w:bookmarkEnd w:id="347"/>
      <w:bookmarkEnd w:id="348"/>
      <w:bookmarkEnd w:id="349"/>
      <w:bookmarkEnd w:id="350"/>
      <w:bookmarkEnd w:id="351"/>
    </w:p>
    <w:p w14:paraId="5B0AD006">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采购人将按照供应商须知前附表规定的时间和地点公开开标，参加开标的供应商代表应当签名报到，以证明其出席开标。开标时间和投标截止时间应当为同一时间。</w:t>
      </w:r>
    </w:p>
    <w:p w14:paraId="48DB5124">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352" w:name="_Toc447188696"/>
      <w:bookmarkStart w:id="353" w:name="_Toc32573"/>
      <w:bookmarkStart w:id="354" w:name="_Toc30826"/>
      <w:bookmarkStart w:id="355" w:name="_Toc15336"/>
      <w:bookmarkStart w:id="356" w:name="_Toc1017"/>
      <w:bookmarkStart w:id="357" w:name="_Toc447265533"/>
      <w:bookmarkStart w:id="358" w:name="_Toc447265247"/>
      <w:r>
        <w:rPr>
          <w:rFonts w:hint="eastAsia" w:ascii="仿宋" w:hAnsi="仿宋" w:eastAsia="仿宋" w:cs="仿宋"/>
          <w:sz w:val="24"/>
          <w:szCs w:val="24"/>
        </w:rPr>
        <w:t>2.开标程序</w:t>
      </w:r>
      <w:bookmarkEnd w:id="352"/>
      <w:bookmarkEnd w:id="353"/>
      <w:bookmarkEnd w:id="354"/>
      <w:bookmarkEnd w:id="355"/>
      <w:bookmarkEnd w:id="356"/>
      <w:bookmarkEnd w:id="357"/>
      <w:bookmarkEnd w:id="358"/>
    </w:p>
    <w:p w14:paraId="20C4BF8D">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2.1开标会议由采购人或者其委托的招标代理机构组织并主持。</w:t>
      </w:r>
    </w:p>
    <w:p w14:paraId="36F54629">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2.2采购人在投标文件递交截止时间前收到的所有投标文件在开标时都应当当众予以宣读，但按照招标文件规定递交合格的书面撤回通知的投标文件不予开封。</w:t>
      </w:r>
    </w:p>
    <w:p w14:paraId="7A9166BC">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2.3开标时，采购人应当当众宣布参加本项目招标的供应商个数，并宣读有效投标的“开标一览表”中的内容，“开标一览表”一般包括：供应商名称、投标总报价、交货期、投标保证金以及招标文件中规定的其他内容。</w:t>
      </w:r>
    </w:p>
    <w:p w14:paraId="371F4451">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359" w:name="_Toc29558"/>
      <w:bookmarkStart w:id="360" w:name="_Toc6134"/>
      <w:bookmarkStart w:id="361" w:name="_Toc22420"/>
      <w:bookmarkStart w:id="362" w:name="_Toc31068"/>
      <w:bookmarkStart w:id="363" w:name="_Toc447188699"/>
      <w:bookmarkStart w:id="364" w:name="_Toc447265536"/>
      <w:bookmarkStart w:id="365" w:name="_Toc152045562"/>
      <w:bookmarkStart w:id="366" w:name="_Toc152042338"/>
      <w:bookmarkStart w:id="367" w:name="_Toc247085720"/>
      <w:bookmarkStart w:id="368" w:name="_Toc179632580"/>
      <w:bookmarkStart w:id="369" w:name="_Toc144974530"/>
      <w:bookmarkStart w:id="370" w:name="_Toc246996949"/>
      <w:bookmarkStart w:id="371" w:name="_Toc246996206"/>
      <w:bookmarkStart w:id="372" w:name="_Toc447265250"/>
      <w:bookmarkStart w:id="373" w:name="_Toc296602451"/>
      <w:bookmarkStart w:id="374" w:name="_Toc226969303"/>
      <w:bookmarkStart w:id="375" w:name="_Toc107822507"/>
      <w:bookmarkStart w:id="376" w:name="_Toc227057909"/>
      <w:r>
        <w:rPr>
          <w:rFonts w:hint="eastAsia" w:ascii="仿宋" w:hAnsi="仿宋" w:eastAsia="仿宋" w:cs="仿宋"/>
          <w:sz w:val="24"/>
          <w:szCs w:val="24"/>
        </w:rPr>
        <w:t>3.不得开标</w:t>
      </w:r>
      <w:bookmarkEnd w:id="359"/>
      <w:bookmarkEnd w:id="360"/>
      <w:bookmarkEnd w:id="361"/>
      <w:bookmarkEnd w:id="362"/>
    </w:p>
    <w:p w14:paraId="458CA161">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rPr>
        <w:t>供应商数量少于3个或者供应商须知前附表规定的人数的，采购人不得开标，应当重新招标。</w:t>
      </w:r>
    </w:p>
    <w:p w14:paraId="3F17EACB">
      <w:pPr>
        <w:pStyle w:val="14"/>
        <w:numPr>
          <w:ilvl w:val="1"/>
          <w:numId w:val="0"/>
        </w:numPr>
        <w:tabs>
          <w:tab w:val="left" w:pos="588"/>
        </w:tabs>
        <w:snapToGrid w:val="0"/>
        <w:spacing w:before="0" w:after="0" w:line="360" w:lineRule="auto"/>
        <w:jc w:val="left"/>
        <w:outlineLvl w:val="1"/>
        <w:rPr>
          <w:rFonts w:hint="eastAsia" w:ascii="仿宋" w:hAnsi="仿宋" w:eastAsia="仿宋" w:cs="仿宋"/>
          <w:sz w:val="28"/>
          <w:szCs w:val="28"/>
        </w:rPr>
      </w:pPr>
      <w:bookmarkStart w:id="377" w:name="_Toc21530"/>
      <w:bookmarkStart w:id="378" w:name="_Toc505"/>
      <w:bookmarkStart w:id="379" w:name="_Toc4810"/>
      <w:bookmarkStart w:id="380" w:name="_Toc8203"/>
      <w:r>
        <w:rPr>
          <w:rFonts w:hint="eastAsia" w:ascii="仿宋" w:hAnsi="仿宋" w:eastAsia="仿宋" w:cs="仿宋"/>
          <w:sz w:val="28"/>
          <w:szCs w:val="28"/>
        </w:rPr>
        <w:t>六、评标</w:t>
      </w:r>
      <w:bookmarkEnd w:id="363"/>
      <w:bookmarkEnd w:id="364"/>
      <w:bookmarkEnd w:id="365"/>
      <w:bookmarkEnd w:id="366"/>
      <w:bookmarkEnd w:id="367"/>
      <w:bookmarkEnd w:id="368"/>
      <w:bookmarkEnd w:id="369"/>
      <w:bookmarkEnd w:id="370"/>
      <w:bookmarkEnd w:id="371"/>
      <w:bookmarkEnd w:id="372"/>
      <w:bookmarkEnd w:id="373"/>
      <w:bookmarkEnd w:id="377"/>
      <w:bookmarkEnd w:id="378"/>
      <w:bookmarkEnd w:id="379"/>
      <w:bookmarkEnd w:id="380"/>
    </w:p>
    <w:p w14:paraId="13973E72">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381" w:name="_Toc447265537"/>
      <w:bookmarkStart w:id="382" w:name="_Toc17675"/>
      <w:bookmarkStart w:id="383" w:name="_Toc25093"/>
      <w:bookmarkStart w:id="384" w:name="_Toc447265251"/>
      <w:bookmarkStart w:id="385" w:name="_Toc25930"/>
      <w:bookmarkStart w:id="386" w:name="_Toc31769"/>
      <w:bookmarkStart w:id="387" w:name="_Toc447188700"/>
      <w:r>
        <w:rPr>
          <w:rFonts w:hint="eastAsia" w:ascii="仿宋" w:hAnsi="仿宋" w:eastAsia="仿宋" w:cs="仿宋"/>
          <w:sz w:val="24"/>
          <w:szCs w:val="24"/>
        </w:rPr>
        <w:t>1.评标委员会</w:t>
      </w:r>
      <w:bookmarkEnd w:id="374"/>
      <w:bookmarkEnd w:id="375"/>
      <w:bookmarkEnd w:id="376"/>
      <w:bookmarkEnd w:id="381"/>
      <w:bookmarkEnd w:id="382"/>
      <w:bookmarkEnd w:id="383"/>
      <w:bookmarkEnd w:id="384"/>
      <w:bookmarkEnd w:id="385"/>
      <w:bookmarkEnd w:id="386"/>
      <w:bookmarkEnd w:id="387"/>
    </w:p>
    <w:p w14:paraId="2C4366F1">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1.1评标由依法组建的评标委员会负责，具体人数见供应商须知前附表。依法必须进行招标的项目，评标委员会的专家应当从政府采购评标专家库内相关专业的专家名单中采取随机抽取方式确定。</w:t>
      </w:r>
    </w:p>
    <w:p w14:paraId="30D108FD">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1.2评标期间，任何单位和个人不得非法干预或者影响评标的过程和结果。</w:t>
      </w:r>
    </w:p>
    <w:p w14:paraId="5E5298CA">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1.3评标委员会成员名单在中标结果确定前保密。</w:t>
      </w:r>
    </w:p>
    <w:p w14:paraId="21BC7725">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388" w:name="_Toc152042340"/>
      <w:bookmarkStart w:id="389" w:name="_Toc12507"/>
      <w:bookmarkStart w:id="390" w:name="_Toc144974532"/>
      <w:bookmarkStart w:id="391" w:name="_Toc447265538"/>
      <w:bookmarkStart w:id="392" w:name="_Toc179632582"/>
      <w:bookmarkStart w:id="393" w:name="_Toc447265252"/>
      <w:bookmarkStart w:id="394" w:name="_Toc6331"/>
      <w:bookmarkStart w:id="395" w:name="_Toc2051"/>
      <w:bookmarkStart w:id="396" w:name="_Toc3374"/>
      <w:bookmarkStart w:id="397" w:name="_Toc246996951"/>
      <w:bookmarkStart w:id="398" w:name="_Toc246996208"/>
      <w:bookmarkStart w:id="399" w:name="_Toc152045564"/>
      <w:bookmarkStart w:id="400" w:name="_Toc247085722"/>
      <w:bookmarkStart w:id="401" w:name="_Toc296602453"/>
      <w:r>
        <w:rPr>
          <w:rFonts w:hint="eastAsia" w:ascii="仿宋" w:hAnsi="仿宋" w:eastAsia="仿宋" w:cs="仿宋"/>
          <w:sz w:val="24"/>
          <w:szCs w:val="24"/>
        </w:rPr>
        <w:t>2.评标原则</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56338049">
      <w:pPr>
        <w:pStyle w:val="8"/>
        <w:numPr>
          <w:ilvl w:val="2"/>
          <w:numId w:val="0"/>
        </w:numPr>
        <w:tabs>
          <w:tab w:val="left" w:pos="630"/>
          <w:tab w:val="left" w:pos="1084"/>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2.1评标活动遵循公平、公正、科学和择优的原则。</w:t>
      </w:r>
    </w:p>
    <w:p w14:paraId="10CD530E">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2.2评标委员会按照第三章“评标办法”规定的方法、评审因素、标准和程序对投标文件进行评审。第三章“评标办法”没有规定的方法、评审因素和标准，不得作为评标依据。</w:t>
      </w:r>
    </w:p>
    <w:p w14:paraId="2FF7EE18">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402" w:name="_Toc3623"/>
      <w:bookmarkStart w:id="403" w:name="_Toc11043"/>
      <w:bookmarkStart w:id="404" w:name="_Toc447188701"/>
      <w:bookmarkStart w:id="405" w:name="_Toc9155"/>
      <w:bookmarkStart w:id="406" w:name="_Toc447265539"/>
      <w:bookmarkStart w:id="407" w:name="_Toc21095"/>
      <w:bookmarkStart w:id="408" w:name="_Toc447265253"/>
      <w:r>
        <w:rPr>
          <w:rFonts w:hint="eastAsia" w:ascii="仿宋" w:hAnsi="仿宋" w:eastAsia="仿宋" w:cs="仿宋"/>
          <w:sz w:val="24"/>
          <w:szCs w:val="24"/>
        </w:rPr>
        <w:t>3.评标方法</w:t>
      </w:r>
      <w:bookmarkEnd w:id="402"/>
      <w:bookmarkEnd w:id="403"/>
      <w:bookmarkEnd w:id="404"/>
      <w:bookmarkEnd w:id="405"/>
      <w:bookmarkEnd w:id="406"/>
      <w:bookmarkEnd w:id="407"/>
      <w:bookmarkEnd w:id="408"/>
    </w:p>
    <w:p w14:paraId="5575D66D">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3.1招标文件中详细载明下述评标方法之一作为本项目评标所采用的评标方法。评标方法见供应商须知前附表。</w:t>
      </w:r>
    </w:p>
    <w:p w14:paraId="24AFE6EB">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3.2采用最低投标价法的，能够满足招标文件的实质性要求，并且经评审的最低投标价的投标，应当推荐为中标候选人，但是价格低于成本的除外。</w:t>
      </w:r>
    </w:p>
    <w:p w14:paraId="0B3A9E9D">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3.3采用综合评分法的，最大限度地满足招标文件中规定的各项综合评价标准的投标，应当推荐为中标候选人，量化的标准和权重应当在招标文件中明确规定。</w:t>
      </w:r>
    </w:p>
    <w:p w14:paraId="62E3AD52">
      <w:pPr>
        <w:pStyle w:val="8"/>
        <w:numPr>
          <w:ilvl w:val="2"/>
          <w:numId w:val="0"/>
        </w:numPr>
        <w:tabs>
          <w:tab w:val="left" w:pos="630"/>
          <w:tab w:val="left" w:pos="1244"/>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3.4法律、法规允许的其他评标方法。</w:t>
      </w:r>
      <w:bookmarkStart w:id="409" w:name="_Toc447265254"/>
      <w:bookmarkStart w:id="410" w:name="_Toc447188702"/>
      <w:bookmarkStart w:id="411" w:name="_Toc447265540"/>
      <w:bookmarkStart w:id="412" w:name="_Toc296602455"/>
      <w:bookmarkStart w:id="413" w:name="_Toc247085724"/>
      <w:bookmarkStart w:id="414" w:name="_Toc246996953"/>
      <w:bookmarkStart w:id="415" w:name="_Toc152042342"/>
      <w:bookmarkStart w:id="416" w:name="_Toc144974534"/>
      <w:bookmarkStart w:id="417" w:name="_Toc152045566"/>
      <w:bookmarkStart w:id="418" w:name="_Toc179632584"/>
      <w:bookmarkStart w:id="419" w:name="_Toc246996210"/>
      <w:bookmarkStart w:id="420" w:name="_Toc226969309"/>
      <w:bookmarkStart w:id="421" w:name="_Toc107822516"/>
      <w:bookmarkStart w:id="422" w:name="_Toc488655860"/>
      <w:bookmarkStart w:id="423" w:name="_Toc227057915"/>
    </w:p>
    <w:p w14:paraId="537D1D25">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424" w:name="_Toc8126"/>
      <w:bookmarkStart w:id="425" w:name="_Toc20074"/>
      <w:bookmarkStart w:id="426" w:name="_Toc29393"/>
      <w:bookmarkStart w:id="427" w:name="_Toc27131"/>
      <w:r>
        <w:rPr>
          <w:rFonts w:hint="eastAsia" w:ascii="仿宋" w:hAnsi="仿宋" w:eastAsia="仿宋" w:cs="仿宋"/>
          <w:sz w:val="24"/>
          <w:szCs w:val="24"/>
        </w:rPr>
        <w:t>4.中标候选人推荐原则</w:t>
      </w:r>
      <w:bookmarkEnd w:id="424"/>
      <w:bookmarkEnd w:id="425"/>
      <w:bookmarkEnd w:id="426"/>
      <w:bookmarkEnd w:id="427"/>
    </w:p>
    <w:p w14:paraId="01D40609">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评标委员会应当根据《</w:t>
      </w:r>
      <w:r>
        <w:rPr>
          <w:rFonts w:hint="eastAsia" w:ascii="仿宋" w:hAnsi="仿宋" w:eastAsia="仿宋" w:cs="仿宋"/>
        </w:rPr>
        <w:t>政府采购</w:t>
      </w:r>
      <w:r>
        <w:rPr>
          <w:rFonts w:hint="eastAsia" w:ascii="仿宋" w:hAnsi="仿宋" w:eastAsia="仿宋" w:cs="仿宋"/>
          <w:szCs w:val="21"/>
        </w:rPr>
        <w:t>法》、《实施条例》 的有关规定推荐中标候选人，具体推荐原则见供应商须知前附表。</w:t>
      </w:r>
    </w:p>
    <w:p w14:paraId="3DF848D5">
      <w:pPr>
        <w:pStyle w:val="14"/>
        <w:numPr>
          <w:ilvl w:val="1"/>
          <w:numId w:val="0"/>
        </w:numPr>
        <w:tabs>
          <w:tab w:val="left" w:pos="484"/>
          <w:tab w:val="left" w:pos="588"/>
        </w:tabs>
        <w:snapToGrid w:val="0"/>
        <w:spacing w:before="0" w:after="0" w:line="360" w:lineRule="auto"/>
        <w:jc w:val="left"/>
        <w:outlineLvl w:val="2"/>
        <w:rPr>
          <w:rFonts w:hint="eastAsia" w:ascii="仿宋" w:hAnsi="仿宋" w:eastAsia="仿宋" w:cs="仿宋"/>
          <w:sz w:val="24"/>
          <w:szCs w:val="24"/>
        </w:rPr>
      </w:pPr>
      <w:bookmarkStart w:id="428" w:name="_Toc798"/>
      <w:bookmarkStart w:id="429" w:name="_Toc26914"/>
      <w:bookmarkStart w:id="430" w:name="_Toc29217"/>
      <w:bookmarkStart w:id="431" w:name="_Toc22526"/>
      <w:r>
        <w:rPr>
          <w:rFonts w:hint="eastAsia" w:ascii="仿宋" w:hAnsi="仿宋" w:eastAsia="仿宋" w:cs="仿宋"/>
          <w:sz w:val="24"/>
          <w:szCs w:val="24"/>
        </w:rPr>
        <w:t>5.评标报告</w:t>
      </w:r>
      <w:bookmarkEnd w:id="409"/>
      <w:bookmarkEnd w:id="410"/>
      <w:bookmarkEnd w:id="411"/>
      <w:bookmarkEnd w:id="428"/>
      <w:bookmarkEnd w:id="429"/>
      <w:bookmarkEnd w:id="430"/>
      <w:bookmarkEnd w:id="431"/>
    </w:p>
    <w:p w14:paraId="790EEABF">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评标完成后，评标委员会应当根据《</w:t>
      </w:r>
      <w:r>
        <w:rPr>
          <w:rFonts w:hint="eastAsia" w:ascii="仿宋" w:hAnsi="仿宋" w:eastAsia="仿宋" w:cs="仿宋"/>
        </w:rPr>
        <w:t>政府采购</w:t>
      </w:r>
      <w:r>
        <w:rPr>
          <w:rFonts w:hint="eastAsia" w:ascii="仿宋" w:hAnsi="仿宋" w:eastAsia="仿宋" w:cs="仿宋"/>
          <w:szCs w:val="21"/>
        </w:rPr>
        <w:t>法》和《实施条例》的有关规定及时向采购人提交评标报告和中标候选人名单。</w:t>
      </w:r>
    </w:p>
    <w:bookmarkEnd w:id="412"/>
    <w:bookmarkEnd w:id="413"/>
    <w:bookmarkEnd w:id="414"/>
    <w:bookmarkEnd w:id="415"/>
    <w:bookmarkEnd w:id="416"/>
    <w:bookmarkEnd w:id="417"/>
    <w:bookmarkEnd w:id="418"/>
    <w:bookmarkEnd w:id="419"/>
    <w:p w14:paraId="4C508A49">
      <w:pPr>
        <w:pStyle w:val="14"/>
        <w:numPr>
          <w:ilvl w:val="1"/>
          <w:numId w:val="0"/>
        </w:numPr>
        <w:tabs>
          <w:tab w:val="left" w:pos="602"/>
        </w:tabs>
        <w:snapToGrid w:val="0"/>
        <w:spacing w:before="0" w:after="0" w:line="360" w:lineRule="auto"/>
        <w:jc w:val="left"/>
        <w:outlineLvl w:val="1"/>
        <w:rPr>
          <w:rFonts w:hint="eastAsia" w:ascii="仿宋" w:hAnsi="仿宋" w:eastAsia="仿宋" w:cs="仿宋"/>
          <w:sz w:val="28"/>
          <w:szCs w:val="28"/>
        </w:rPr>
      </w:pPr>
      <w:bookmarkStart w:id="432" w:name="_Toc2899"/>
      <w:bookmarkStart w:id="433" w:name="_Toc447265255"/>
      <w:bookmarkStart w:id="434" w:name="_Toc6236"/>
      <w:bookmarkStart w:id="435" w:name="_Toc447188703"/>
      <w:bookmarkStart w:id="436" w:name="_Toc5952"/>
      <w:bookmarkStart w:id="437" w:name="_Toc447265541"/>
      <w:bookmarkStart w:id="438" w:name="_Toc19443"/>
      <w:r>
        <w:rPr>
          <w:rFonts w:hint="eastAsia" w:ascii="仿宋" w:hAnsi="仿宋" w:eastAsia="仿宋" w:cs="仿宋"/>
          <w:sz w:val="28"/>
          <w:szCs w:val="28"/>
        </w:rPr>
        <w:t>七、中标</w:t>
      </w:r>
      <w:bookmarkEnd w:id="432"/>
      <w:bookmarkEnd w:id="433"/>
      <w:bookmarkEnd w:id="434"/>
      <w:bookmarkEnd w:id="435"/>
      <w:bookmarkEnd w:id="436"/>
      <w:bookmarkEnd w:id="437"/>
      <w:bookmarkEnd w:id="438"/>
    </w:p>
    <w:bookmarkEnd w:id="420"/>
    <w:bookmarkEnd w:id="421"/>
    <w:bookmarkEnd w:id="422"/>
    <w:bookmarkEnd w:id="423"/>
    <w:p w14:paraId="48D5F7BF">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439" w:name="_Toc4967"/>
      <w:bookmarkStart w:id="440" w:name="_Toc28514"/>
      <w:bookmarkStart w:id="441" w:name="_Toc22588"/>
      <w:bookmarkStart w:id="442" w:name="_Toc3526"/>
      <w:bookmarkStart w:id="443" w:name="_Toc32293"/>
      <w:bookmarkStart w:id="444" w:name="_Toc447265544"/>
      <w:bookmarkStart w:id="445" w:name="_Toc144974536"/>
      <w:bookmarkStart w:id="446" w:name="_Toc296602458"/>
      <w:bookmarkStart w:id="447" w:name="_Toc246996212"/>
      <w:bookmarkStart w:id="448" w:name="_Toc246996955"/>
      <w:bookmarkStart w:id="449" w:name="_Toc447265258"/>
      <w:bookmarkStart w:id="450" w:name="OLE_LINK6"/>
      <w:bookmarkStart w:id="451" w:name="OLE_LINK7"/>
      <w:bookmarkStart w:id="452" w:name="_Toc152042344"/>
      <w:bookmarkStart w:id="453" w:name="_Toc152045568"/>
      <w:bookmarkStart w:id="454" w:name="_Toc247085726"/>
      <w:bookmarkStart w:id="455" w:name="_Toc179632586"/>
      <w:r>
        <w:rPr>
          <w:rFonts w:hint="eastAsia" w:ascii="仿宋" w:hAnsi="仿宋" w:eastAsia="仿宋" w:cs="仿宋"/>
          <w:sz w:val="24"/>
          <w:szCs w:val="24"/>
        </w:rPr>
        <w:t>1.确定中标人</w:t>
      </w:r>
      <w:bookmarkEnd w:id="439"/>
      <w:bookmarkEnd w:id="440"/>
      <w:bookmarkEnd w:id="441"/>
      <w:bookmarkEnd w:id="442"/>
      <w:bookmarkEnd w:id="443"/>
    </w:p>
    <w:p w14:paraId="538E436F">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1.1除供应商须知前附表规定评标委员会直接确定中标人外，采购人依据评标委员会推荐的中标候选人确定中标人，中标人数量见供应商须知前附表。</w:t>
      </w:r>
    </w:p>
    <w:p w14:paraId="13BDEC7E">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78265837">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1.3在签订合同之前，中标人放弃中标或者不能履行合同的，采购人可以按照评标委员会提出的中标候选人名单排序依次确定其他中标候选人为中标人，也可以对中标人的中标份额进行调整，具体调整规则见供应商须知前附表。</w:t>
      </w:r>
    </w:p>
    <w:p w14:paraId="721329E4">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456" w:name="_Toc12222"/>
      <w:bookmarkStart w:id="457" w:name="_Toc23"/>
      <w:bookmarkStart w:id="458" w:name="_Toc23953"/>
      <w:bookmarkStart w:id="459" w:name="_Toc24223"/>
      <w:bookmarkStart w:id="460" w:name="_Toc8714"/>
      <w:r>
        <w:rPr>
          <w:rFonts w:hint="eastAsia" w:ascii="仿宋" w:hAnsi="仿宋" w:eastAsia="仿宋" w:cs="仿宋"/>
          <w:sz w:val="24"/>
          <w:szCs w:val="24"/>
        </w:rPr>
        <w:t>2.中标结果公告</w:t>
      </w:r>
      <w:bookmarkEnd w:id="456"/>
      <w:bookmarkEnd w:id="457"/>
      <w:bookmarkEnd w:id="458"/>
      <w:bookmarkEnd w:id="459"/>
      <w:bookmarkEnd w:id="460"/>
    </w:p>
    <w:p w14:paraId="643B1007">
      <w:pPr>
        <w:pStyle w:val="2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2.1 采购人或者采购代理机构应当自中标人确定之日起2个工作日内，在指定网站上</w:t>
      </w:r>
      <w:r>
        <w:rPr>
          <w:rFonts w:hint="eastAsia" w:ascii="仿宋" w:hAnsi="仿宋" w:eastAsia="仿宋" w:cs="仿宋"/>
        </w:rPr>
        <w:t>上</w:t>
      </w:r>
      <w:r>
        <w:rPr>
          <w:rFonts w:hint="eastAsia" w:ascii="仿宋" w:hAnsi="仿宋" w:eastAsia="仿宋" w:cs="仿宋"/>
          <w:szCs w:val="21"/>
        </w:rPr>
        <w:t>公告中标结果，招标文件应当随中标结果同时公告。中标公告期限为1个工作日。</w:t>
      </w:r>
    </w:p>
    <w:p w14:paraId="48E2D4A7">
      <w:pPr>
        <w:pStyle w:val="20"/>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2.2供应商认为中标或者成交结果使自己的权益受到损害的,可以在知道或者应知其权益受到损害之日起7个工作日内,以书面形式向采购人、采购代理机构提出质疑。</w:t>
      </w:r>
    </w:p>
    <w:bookmarkEnd w:id="444"/>
    <w:bookmarkEnd w:id="445"/>
    <w:bookmarkEnd w:id="446"/>
    <w:bookmarkEnd w:id="447"/>
    <w:bookmarkEnd w:id="448"/>
    <w:bookmarkEnd w:id="449"/>
    <w:bookmarkEnd w:id="450"/>
    <w:bookmarkEnd w:id="451"/>
    <w:bookmarkEnd w:id="452"/>
    <w:bookmarkEnd w:id="453"/>
    <w:bookmarkEnd w:id="454"/>
    <w:bookmarkEnd w:id="455"/>
    <w:p w14:paraId="4104EB07">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461" w:name="_Toc29991"/>
      <w:bookmarkStart w:id="462" w:name="_Toc14595"/>
      <w:bookmarkStart w:id="463" w:name="_Toc20052"/>
      <w:bookmarkStart w:id="464" w:name="_Toc15524"/>
      <w:bookmarkStart w:id="465" w:name="_Toc5266"/>
      <w:bookmarkStart w:id="466" w:name="_Toc447265259"/>
      <w:bookmarkStart w:id="467" w:name="_Toc447265545"/>
      <w:bookmarkStart w:id="468" w:name="_Toc144974537"/>
      <w:bookmarkStart w:id="469" w:name="_Toc152045569"/>
      <w:bookmarkStart w:id="470" w:name="_Toc246996956"/>
      <w:bookmarkStart w:id="471" w:name="_Toc246996213"/>
      <w:bookmarkStart w:id="472" w:name="_Toc179632587"/>
      <w:bookmarkStart w:id="473" w:name="_Toc296602459"/>
      <w:bookmarkStart w:id="474" w:name="_Toc152042345"/>
      <w:bookmarkStart w:id="475" w:name="_Toc247085727"/>
      <w:bookmarkStart w:id="476" w:name="_Toc226969310"/>
      <w:bookmarkStart w:id="477" w:name="_Toc107822517"/>
      <w:bookmarkStart w:id="478" w:name="_Toc227057916"/>
      <w:r>
        <w:rPr>
          <w:rFonts w:hint="eastAsia" w:ascii="仿宋" w:hAnsi="仿宋" w:eastAsia="仿宋" w:cs="仿宋"/>
          <w:sz w:val="24"/>
          <w:szCs w:val="24"/>
        </w:rPr>
        <w:t>3.中标通知</w:t>
      </w:r>
      <w:bookmarkEnd w:id="461"/>
      <w:bookmarkEnd w:id="462"/>
      <w:bookmarkEnd w:id="463"/>
      <w:bookmarkEnd w:id="464"/>
      <w:bookmarkEnd w:id="465"/>
    </w:p>
    <w:p w14:paraId="74B935A5">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3.1</w:t>
      </w:r>
      <w:r>
        <w:rPr>
          <w:rFonts w:hint="eastAsia" w:ascii="仿宋" w:hAnsi="仿宋" w:eastAsia="仿宋" w:cs="仿宋"/>
          <w:szCs w:val="21"/>
        </w:rPr>
        <w:tab/>
      </w:r>
      <w:r>
        <w:rPr>
          <w:rFonts w:hint="eastAsia" w:ascii="仿宋" w:hAnsi="仿宋" w:eastAsia="仿宋" w:cs="仿宋"/>
          <w:szCs w:val="21"/>
        </w:rPr>
        <w:t>在中标通知书发出前，中标候选人的经营、财务状况发生较大变化或者存在违法行为，可能影响其履约能力的，供应商应当主动告知采购人。</w:t>
      </w:r>
    </w:p>
    <w:p w14:paraId="004BED70">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3.2</w:t>
      </w:r>
      <w:r>
        <w:rPr>
          <w:rFonts w:hint="eastAsia" w:ascii="仿宋" w:hAnsi="仿宋" w:eastAsia="仿宋" w:cs="仿宋"/>
          <w:szCs w:val="21"/>
        </w:rPr>
        <w:tab/>
      </w:r>
      <w:r>
        <w:rPr>
          <w:rFonts w:hint="eastAsia" w:ascii="仿宋" w:hAnsi="仿宋" w:eastAsia="仿宋" w:cs="仿宋"/>
          <w:szCs w:val="21"/>
        </w:rPr>
        <w:t>在公告中标结果的同时，采购人或者采购代理机构应当向中标人发出中标通知书；对未通过资格审查的供应商，应当告知其未通过的原因；采用综合评分法评审的，还应当告知未中标人本人的评审得分与排序。</w:t>
      </w:r>
    </w:p>
    <w:p w14:paraId="7BE083C7">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3.3</w:t>
      </w:r>
      <w:r>
        <w:rPr>
          <w:rFonts w:hint="eastAsia" w:ascii="仿宋" w:hAnsi="仿宋" w:eastAsia="仿宋" w:cs="仿宋"/>
          <w:szCs w:val="21"/>
        </w:rPr>
        <w:tab/>
      </w:r>
      <w:r>
        <w:rPr>
          <w:rFonts w:hint="eastAsia" w:ascii="仿宋" w:hAnsi="仿宋" w:eastAsia="仿宋" w:cs="仿宋"/>
          <w:szCs w:val="21"/>
        </w:rPr>
        <w:t>中标通知书是招标投标档案和合同的组成部分。</w:t>
      </w:r>
    </w:p>
    <w:p w14:paraId="6F2C5BEF">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3.4</w:t>
      </w:r>
      <w:r>
        <w:rPr>
          <w:rFonts w:hint="eastAsia" w:ascii="仿宋" w:hAnsi="仿宋" w:eastAsia="仿宋" w:cs="仿宋"/>
          <w:szCs w:val="21"/>
        </w:rPr>
        <w:tab/>
      </w:r>
      <w:r>
        <w:rPr>
          <w:rFonts w:hint="eastAsia" w:ascii="仿宋" w:hAnsi="仿宋" w:eastAsia="仿宋" w:cs="仿宋"/>
          <w:szCs w:val="21"/>
        </w:rPr>
        <w:t>中标通知书发出后，采购人不得违法改变中标结果，中标人无正当理由不得放弃中标。</w:t>
      </w:r>
    </w:p>
    <w:p w14:paraId="13CFC49B">
      <w:pPr>
        <w:pStyle w:val="14"/>
        <w:numPr>
          <w:ilvl w:val="1"/>
          <w:numId w:val="0"/>
        </w:numPr>
        <w:tabs>
          <w:tab w:val="left" w:pos="588"/>
        </w:tabs>
        <w:snapToGrid w:val="0"/>
        <w:spacing w:before="0" w:after="0" w:line="360" w:lineRule="auto"/>
        <w:jc w:val="left"/>
        <w:outlineLvl w:val="1"/>
        <w:rPr>
          <w:rFonts w:hint="eastAsia" w:ascii="仿宋" w:hAnsi="仿宋" w:eastAsia="仿宋" w:cs="仿宋"/>
          <w:sz w:val="28"/>
          <w:szCs w:val="28"/>
        </w:rPr>
      </w:pPr>
      <w:bookmarkStart w:id="479" w:name="_Toc7279"/>
      <w:bookmarkStart w:id="480" w:name="_Toc4164"/>
      <w:bookmarkStart w:id="481" w:name="_Toc22612"/>
      <w:bookmarkStart w:id="482" w:name="_Toc6758"/>
      <w:r>
        <w:rPr>
          <w:rFonts w:hint="eastAsia" w:ascii="仿宋" w:hAnsi="仿宋" w:eastAsia="仿宋" w:cs="仿宋"/>
          <w:sz w:val="28"/>
          <w:szCs w:val="28"/>
        </w:rPr>
        <w:t>八、合同签订</w:t>
      </w:r>
      <w:bookmarkEnd w:id="466"/>
      <w:bookmarkEnd w:id="467"/>
      <w:bookmarkEnd w:id="479"/>
      <w:bookmarkEnd w:id="480"/>
      <w:bookmarkEnd w:id="481"/>
      <w:bookmarkEnd w:id="482"/>
    </w:p>
    <w:p w14:paraId="24B62DA0">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483" w:name="_Toc447265260"/>
      <w:bookmarkStart w:id="484" w:name="_Toc14496"/>
      <w:bookmarkStart w:id="485" w:name="_Toc18306"/>
      <w:bookmarkStart w:id="486" w:name="_Toc447265546"/>
      <w:bookmarkStart w:id="487" w:name="_Toc1976"/>
      <w:bookmarkStart w:id="488" w:name="_Toc24271"/>
      <w:r>
        <w:rPr>
          <w:rFonts w:hint="eastAsia" w:ascii="仿宋" w:hAnsi="仿宋" w:eastAsia="仿宋" w:cs="仿宋"/>
          <w:sz w:val="24"/>
          <w:szCs w:val="24"/>
        </w:rPr>
        <w:t>1.履约</w:t>
      </w:r>
      <w:bookmarkEnd w:id="468"/>
      <w:bookmarkEnd w:id="469"/>
      <w:bookmarkEnd w:id="470"/>
      <w:bookmarkEnd w:id="471"/>
      <w:bookmarkEnd w:id="472"/>
      <w:bookmarkEnd w:id="473"/>
      <w:bookmarkEnd w:id="474"/>
      <w:bookmarkEnd w:id="475"/>
      <w:r>
        <w:rPr>
          <w:rFonts w:hint="eastAsia" w:ascii="仿宋" w:hAnsi="仿宋" w:eastAsia="仿宋" w:cs="仿宋"/>
          <w:sz w:val="24"/>
          <w:szCs w:val="24"/>
        </w:rPr>
        <w:t>保证金</w:t>
      </w:r>
      <w:bookmarkEnd w:id="483"/>
      <w:bookmarkEnd w:id="484"/>
      <w:bookmarkEnd w:id="485"/>
      <w:bookmarkEnd w:id="486"/>
      <w:bookmarkEnd w:id="487"/>
      <w:bookmarkEnd w:id="488"/>
    </w:p>
    <w:p w14:paraId="7C011941">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1.1在签订合同前，中标人应当按照“供应商须知前附表”中规定的履约保证金的金额和形式向采购人递交履约保证金。</w:t>
      </w:r>
    </w:p>
    <w:p w14:paraId="5132D36A">
      <w:pPr>
        <w:pStyle w:val="8"/>
        <w:numPr>
          <w:ilvl w:val="2"/>
          <w:numId w:val="0"/>
        </w:numPr>
        <w:tabs>
          <w:tab w:val="left" w:pos="630"/>
        </w:tabs>
        <w:snapToGrid w:val="0"/>
        <w:spacing w:after="0" w:line="360" w:lineRule="auto"/>
        <w:ind w:firstLine="420" w:firstLineChars="200"/>
        <w:rPr>
          <w:rFonts w:hint="eastAsia" w:ascii="仿宋" w:hAnsi="仿宋" w:eastAsia="仿宋" w:cs="仿宋"/>
        </w:rPr>
      </w:pPr>
      <w:r>
        <w:rPr>
          <w:rFonts w:hint="eastAsia" w:ascii="仿宋" w:hAnsi="仿宋" w:eastAsia="仿宋" w:cs="仿宋"/>
        </w:rPr>
        <w:t>1.2中标人不能按照招标文件要求递交履约担保的，视为放弃中标，其投标保证金不予退还，给采购人造成的损失超过投标保证金数额的，中标人还应当对超过部分予以赔偿。</w:t>
      </w:r>
    </w:p>
    <w:p w14:paraId="25E56CA4">
      <w:pPr>
        <w:pStyle w:val="14"/>
        <w:numPr>
          <w:ilvl w:val="1"/>
          <w:numId w:val="0"/>
        </w:numPr>
        <w:tabs>
          <w:tab w:val="left" w:pos="511"/>
          <w:tab w:val="left" w:pos="588"/>
        </w:tabs>
        <w:snapToGrid w:val="0"/>
        <w:spacing w:before="0" w:after="0" w:line="360" w:lineRule="auto"/>
        <w:jc w:val="left"/>
        <w:outlineLvl w:val="2"/>
        <w:rPr>
          <w:rFonts w:hint="eastAsia" w:ascii="仿宋" w:hAnsi="仿宋" w:eastAsia="仿宋" w:cs="仿宋"/>
          <w:sz w:val="24"/>
          <w:szCs w:val="24"/>
        </w:rPr>
      </w:pPr>
      <w:bookmarkStart w:id="489" w:name="_Toc447265261"/>
      <w:bookmarkStart w:id="490" w:name="_Toc10915"/>
      <w:bookmarkStart w:id="491" w:name="_Toc1382"/>
      <w:bookmarkStart w:id="492" w:name="_Toc447265547"/>
      <w:bookmarkStart w:id="493" w:name="_Toc32162"/>
      <w:bookmarkStart w:id="494" w:name="_Toc26677"/>
      <w:r>
        <w:rPr>
          <w:rFonts w:hint="eastAsia" w:ascii="仿宋" w:hAnsi="仿宋" w:eastAsia="仿宋" w:cs="仿宋"/>
          <w:sz w:val="24"/>
          <w:szCs w:val="24"/>
        </w:rPr>
        <w:t>2.合同签订</w:t>
      </w:r>
      <w:bookmarkEnd w:id="489"/>
      <w:bookmarkEnd w:id="490"/>
      <w:bookmarkEnd w:id="491"/>
      <w:bookmarkEnd w:id="492"/>
      <w:bookmarkEnd w:id="493"/>
      <w:bookmarkEnd w:id="494"/>
    </w:p>
    <w:bookmarkEnd w:id="476"/>
    <w:bookmarkEnd w:id="477"/>
    <w:bookmarkEnd w:id="478"/>
    <w:p w14:paraId="6D858EF7">
      <w:pPr>
        <w:pStyle w:val="8"/>
        <w:numPr>
          <w:ilvl w:val="2"/>
          <w:numId w:val="0"/>
        </w:numPr>
        <w:tabs>
          <w:tab w:val="left" w:pos="630"/>
        </w:tabs>
        <w:snapToGrid w:val="0"/>
        <w:spacing w:after="0" w:line="360" w:lineRule="auto"/>
        <w:ind w:firstLine="420" w:firstLineChars="200"/>
        <w:rPr>
          <w:rFonts w:hint="eastAsia" w:ascii="仿宋" w:hAnsi="仿宋" w:eastAsia="仿宋" w:cs="仿宋"/>
        </w:rPr>
      </w:pPr>
      <w:bookmarkStart w:id="495" w:name="_Toc226969312"/>
      <w:bookmarkStart w:id="496" w:name="_Toc447265549"/>
      <w:bookmarkStart w:id="497" w:name="_Toc488655867"/>
      <w:bookmarkStart w:id="498" w:name="_Toc447188707"/>
      <w:bookmarkStart w:id="499" w:name="_Toc107822519"/>
      <w:bookmarkStart w:id="500" w:name="_Toc227057918"/>
      <w:bookmarkStart w:id="501" w:name="_Toc447265263"/>
      <w:r>
        <w:rPr>
          <w:rFonts w:hint="eastAsia" w:ascii="仿宋" w:hAnsi="仿宋" w:eastAsia="仿宋" w:cs="仿宋"/>
        </w:rPr>
        <w:t>2.1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7CA8D32">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2.2中标人无正当理由拒签合同的，采购人取消其中标资格，其投标保证金不予退还；给采购人造成的损失超过投标保证金数额的，中标人还应当对超过部分予以赔偿。</w:t>
      </w:r>
    </w:p>
    <w:p w14:paraId="70978D8E">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2.3采购人与中标人应当根据合同的约定依法履行合同义务。政府采购合同的履行、违约责任和解决争议的方法等适用《中华人民共和国民法典》。</w:t>
      </w:r>
    </w:p>
    <w:p w14:paraId="011E6AFD">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2.4</w:t>
      </w:r>
      <w:bookmarkStart w:id="502" w:name="_bookmark71"/>
      <w:bookmarkEnd w:id="502"/>
      <w:bookmarkStart w:id="503" w:name="_bookmark70"/>
      <w:bookmarkEnd w:id="503"/>
      <w:r>
        <w:rPr>
          <w:rFonts w:hint="eastAsia" w:ascii="仿宋" w:hAnsi="仿宋" w:eastAsia="仿宋" w:cs="仿宋"/>
          <w:szCs w:val="21"/>
        </w:rPr>
        <w:t>联合体中标的，联合体各方应当共同与招标人签订合同，就中标项目向招标人承担连带责任。</w:t>
      </w:r>
    </w:p>
    <w:p w14:paraId="06FB1CB1">
      <w:pPr>
        <w:pStyle w:val="14"/>
        <w:numPr>
          <w:ilvl w:val="1"/>
          <w:numId w:val="0"/>
        </w:numPr>
        <w:tabs>
          <w:tab w:val="left" w:pos="602"/>
        </w:tabs>
        <w:snapToGrid w:val="0"/>
        <w:spacing w:before="0" w:after="0" w:line="360" w:lineRule="auto"/>
        <w:jc w:val="left"/>
        <w:outlineLvl w:val="1"/>
        <w:rPr>
          <w:rFonts w:hint="eastAsia" w:ascii="仿宋" w:hAnsi="仿宋" w:eastAsia="仿宋" w:cs="仿宋"/>
          <w:sz w:val="28"/>
          <w:szCs w:val="28"/>
        </w:rPr>
      </w:pPr>
      <w:bookmarkStart w:id="504" w:name="_Toc776"/>
      <w:bookmarkStart w:id="505" w:name="_Toc11548"/>
      <w:bookmarkStart w:id="506" w:name="_Toc17744"/>
      <w:bookmarkStart w:id="507" w:name="_Toc31363"/>
      <w:r>
        <w:rPr>
          <w:rFonts w:hint="eastAsia" w:ascii="仿宋" w:hAnsi="仿宋" w:eastAsia="仿宋" w:cs="仿宋"/>
          <w:sz w:val="28"/>
          <w:szCs w:val="28"/>
        </w:rPr>
        <w:t>九、招标代理服务费</w:t>
      </w:r>
      <w:bookmarkEnd w:id="495"/>
      <w:bookmarkEnd w:id="496"/>
      <w:bookmarkEnd w:id="497"/>
      <w:bookmarkEnd w:id="498"/>
      <w:bookmarkEnd w:id="499"/>
      <w:bookmarkEnd w:id="500"/>
      <w:bookmarkEnd w:id="501"/>
      <w:bookmarkEnd w:id="504"/>
      <w:bookmarkEnd w:id="505"/>
      <w:bookmarkEnd w:id="506"/>
      <w:bookmarkEnd w:id="507"/>
    </w:p>
    <w:p w14:paraId="6A886F4B">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中标人应当按照招标文件规定交纳招标代理服务费，采购人和招标代理机构另有约定的从其约定。招标代理服务费的金额、交纳方式和时限见供应商须知前附表。</w:t>
      </w:r>
    </w:p>
    <w:p w14:paraId="0F22700C">
      <w:pPr>
        <w:pStyle w:val="14"/>
        <w:numPr>
          <w:ilvl w:val="1"/>
          <w:numId w:val="0"/>
        </w:numPr>
        <w:tabs>
          <w:tab w:val="left" w:pos="602"/>
        </w:tabs>
        <w:snapToGrid w:val="0"/>
        <w:spacing w:before="0" w:after="0" w:line="360" w:lineRule="auto"/>
        <w:jc w:val="left"/>
        <w:outlineLvl w:val="1"/>
        <w:rPr>
          <w:rFonts w:hint="eastAsia" w:ascii="仿宋" w:hAnsi="仿宋" w:eastAsia="仿宋" w:cs="仿宋"/>
          <w:sz w:val="28"/>
          <w:szCs w:val="28"/>
        </w:rPr>
      </w:pPr>
      <w:bookmarkStart w:id="508" w:name="_Toc447265550"/>
      <w:bookmarkStart w:id="509" w:name="_Toc20993"/>
      <w:bookmarkStart w:id="510" w:name="_Toc447188708"/>
      <w:bookmarkStart w:id="511" w:name="_Toc447265264"/>
      <w:bookmarkStart w:id="512" w:name="_Toc20313"/>
      <w:bookmarkStart w:id="513" w:name="_Toc296602461"/>
      <w:bookmarkStart w:id="514" w:name="_Toc26351"/>
      <w:bookmarkStart w:id="515" w:name="_Toc16052"/>
      <w:r>
        <w:rPr>
          <w:rFonts w:hint="eastAsia" w:ascii="仿宋" w:hAnsi="仿宋" w:eastAsia="仿宋" w:cs="仿宋"/>
          <w:sz w:val="28"/>
          <w:szCs w:val="28"/>
        </w:rPr>
        <w:t>十、纪律和监督</w:t>
      </w:r>
      <w:bookmarkEnd w:id="508"/>
      <w:bookmarkEnd w:id="509"/>
      <w:bookmarkEnd w:id="510"/>
      <w:bookmarkEnd w:id="511"/>
      <w:bookmarkEnd w:id="512"/>
      <w:bookmarkEnd w:id="513"/>
      <w:bookmarkEnd w:id="514"/>
      <w:bookmarkEnd w:id="515"/>
    </w:p>
    <w:p w14:paraId="3731256C">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516" w:name="_Toc179632593"/>
      <w:bookmarkStart w:id="517" w:name="_Toc246996962"/>
      <w:bookmarkStart w:id="518" w:name="_Toc144974543"/>
      <w:bookmarkStart w:id="519" w:name="_Toc7730"/>
      <w:bookmarkStart w:id="520" w:name="_Toc447265265"/>
      <w:bookmarkStart w:id="521" w:name="_Toc13001"/>
      <w:bookmarkStart w:id="522" w:name="_Toc152045575"/>
      <w:bookmarkStart w:id="523" w:name="_Toc247085733"/>
      <w:bookmarkStart w:id="524" w:name="_Toc152042351"/>
      <w:bookmarkStart w:id="525" w:name="_Toc246996219"/>
      <w:bookmarkStart w:id="526" w:name="_Toc296590983"/>
      <w:bookmarkStart w:id="527" w:name="_Toc27705"/>
      <w:bookmarkStart w:id="528" w:name="_Toc31057"/>
      <w:bookmarkStart w:id="529" w:name="_Toc29254"/>
      <w:bookmarkStart w:id="530" w:name="_Toc447265551"/>
      <w:bookmarkStart w:id="531" w:name="_Toc296602462"/>
      <w:r>
        <w:rPr>
          <w:rFonts w:hint="eastAsia" w:ascii="仿宋" w:hAnsi="仿宋" w:eastAsia="仿宋" w:cs="仿宋"/>
          <w:sz w:val="24"/>
          <w:szCs w:val="24"/>
        </w:rPr>
        <w:t>1.对采购人的纪律要求</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73756863">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采购人不得泄漏招标投标活动中应当保密的情况和资料，不得与供应商串通损害国家利益、社会公共利益或者他人合法权益。</w:t>
      </w:r>
    </w:p>
    <w:p w14:paraId="7A329B18">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532" w:name="_Toc152045576"/>
      <w:bookmarkStart w:id="533" w:name="_Toc246996220"/>
      <w:bookmarkStart w:id="534" w:name="_Toc447265266"/>
      <w:bookmarkStart w:id="535" w:name="_Toc4884"/>
      <w:bookmarkStart w:id="536" w:name="_Toc30614"/>
      <w:bookmarkStart w:id="537" w:name="_Toc144974544"/>
      <w:bookmarkStart w:id="538" w:name="_Toc152042352"/>
      <w:bookmarkStart w:id="539" w:name="_Toc247085734"/>
      <w:bookmarkStart w:id="540" w:name="_Toc296602463"/>
      <w:bookmarkStart w:id="541" w:name="_Toc179632594"/>
      <w:bookmarkStart w:id="542" w:name="_Toc14298"/>
      <w:bookmarkStart w:id="543" w:name="_Toc10713"/>
      <w:bookmarkStart w:id="544" w:name="_Toc8824"/>
      <w:bookmarkStart w:id="545" w:name="_Toc447265552"/>
      <w:bookmarkStart w:id="546" w:name="_Toc246996963"/>
      <w:r>
        <w:rPr>
          <w:rFonts w:hint="eastAsia" w:ascii="仿宋" w:hAnsi="仿宋" w:eastAsia="仿宋" w:cs="仿宋"/>
          <w:sz w:val="24"/>
          <w:szCs w:val="24"/>
        </w:rPr>
        <w:t>2.对供应商的纪律要求</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0274CEC0">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562C45EF">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547" w:name="_Toc271"/>
      <w:bookmarkStart w:id="548" w:name="_Toc14890"/>
      <w:bookmarkStart w:id="549" w:name="_Toc447265267"/>
      <w:bookmarkStart w:id="550" w:name="_Toc447265553"/>
      <w:bookmarkStart w:id="551" w:name="_Toc296602464"/>
      <w:bookmarkStart w:id="552" w:name="_Toc144974545"/>
      <w:bookmarkStart w:id="553" w:name="_Toc14594"/>
      <w:bookmarkStart w:id="554" w:name="_Toc18658"/>
      <w:bookmarkStart w:id="555" w:name="_Toc152042353"/>
      <w:bookmarkStart w:id="556" w:name="_Toc179632595"/>
      <w:bookmarkStart w:id="557" w:name="_Toc9659"/>
      <w:bookmarkStart w:id="558" w:name="_Toc247085735"/>
      <w:bookmarkStart w:id="559" w:name="_Toc246996221"/>
      <w:bookmarkStart w:id="560" w:name="_Toc152045577"/>
      <w:bookmarkStart w:id="561" w:name="_Toc246996964"/>
      <w:r>
        <w:rPr>
          <w:rFonts w:hint="eastAsia" w:ascii="仿宋" w:hAnsi="仿宋" w:eastAsia="仿宋" w:cs="仿宋"/>
          <w:sz w:val="24"/>
          <w:szCs w:val="24"/>
        </w:rPr>
        <w:t>3.对评标委员会成员的纪律要求</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B83C5C7">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09475FFA">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562" w:name="_Toc246996222"/>
      <w:bookmarkStart w:id="563" w:name="_Toc247085736"/>
      <w:bookmarkStart w:id="564" w:name="_Toc26327"/>
      <w:bookmarkStart w:id="565" w:name="_Toc179632596"/>
      <w:bookmarkStart w:id="566" w:name="_Toc296602465"/>
      <w:bookmarkStart w:id="567" w:name="_Toc246996965"/>
      <w:bookmarkStart w:id="568" w:name="_Toc447265554"/>
      <w:bookmarkStart w:id="569" w:name="_Toc18058"/>
      <w:bookmarkStart w:id="570" w:name="_Toc447265268"/>
      <w:bookmarkStart w:id="571" w:name="_Toc15994"/>
      <w:bookmarkStart w:id="572" w:name="_Toc9099"/>
      <w:bookmarkStart w:id="573" w:name="_Toc152045578"/>
      <w:bookmarkStart w:id="574" w:name="_Toc6273"/>
      <w:bookmarkStart w:id="575" w:name="_Toc152042354"/>
      <w:bookmarkStart w:id="576" w:name="_Toc144974546"/>
      <w:r>
        <w:rPr>
          <w:rFonts w:hint="eastAsia" w:ascii="仿宋" w:hAnsi="仿宋" w:eastAsia="仿宋" w:cs="仿宋"/>
          <w:sz w:val="24"/>
          <w:szCs w:val="24"/>
        </w:rPr>
        <w:t>4.对与评标活动有关的工作人员的纪律要求</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1239B6E4">
      <w:pPr>
        <w:adjustRightInd w:val="0"/>
        <w:snapToGrid w:val="0"/>
        <w:spacing w:after="0" w:line="360" w:lineRule="auto"/>
        <w:ind w:firstLine="420" w:firstLineChars="200"/>
        <w:rPr>
          <w:rFonts w:hint="eastAsia" w:ascii="仿宋" w:hAnsi="仿宋" w:eastAsia="仿宋" w:cs="仿宋"/>
          <w:szCs w:val="21"/>
        </w:rPr>
      </w:pPr>
      <w:bookmarkStart w:id="577" w:name="_Toc152042355"/>
      <w:r>
        <w:rPr>
          <w:rFonts w:hint="eastAsia" w:ascii="仿宋" w:hAnsi="仿宋" w:eastAsia="仿宋" w:cs="仿宋"/>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577"/>
    </w:p>
    <w:bookmarkEnd w:id="576"/>
    <w:p w14:paraId="4B29FDBA">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578" w:name="_Toc25569"/>
      <w:bookmarkStart w:id="579" w:name="_Toc6683"/>
      <w:bookmarkStart w:id="580" w:name="_Toc5206"/>
      <w:bookmarkStart w:id="581" w:name="_Toc5078"/>
      <w:bookmarkStart w:id="582" w:name="_Toc13568"/>
      <w:r>
        <w:rPr>
          <w:rFonts w:hint="eastAsia" w:ascii="仿宋" w:hAnsi="仿宋" w:eastAsia="仿宋" w:cs="仿宋"/>
          <w:sz w:val="24"/>
          <w:szCs w:val="24"/>
        </w:rPr>
        <w:t>5.质疑</w:t>
      </w:r>
      <w:bookmarkEnd w:id="578"/>
      <w:bookmarkEnd w:id="579"/>
      <w:bookmarkEnd w:id="580"/>
      <w:bookmarkEnd w:id="581"/>
      <w:bookmarkEnd w:id="582"/>
    </w:p>
    <w:p w14:paraId="24F7AB8D">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5.1供应商认为采购文件、采购过程、中标或者成交结果使自己的权益受到损害的,可以在知道或者应知其权益受到损害之日起7个工作日内,以书面形式向采购人、采购代理机构提出质疑。</w:t>
      </w:r>
    </w:p>
    <w:p w14:paraId="4C7D180A">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5.2潜在供应商已依法获取其可质疑的采购文件的,可以对该文件提出质疑。对采购文件提出质疑的,应当在获取采购文件或者采购文件公告期限届满之日起7个工作日内提出。</w:t>
      </w:r>
    </w:p>
    <w:p w14:paraId="76100CF9">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5.3采购人、采购代理机构不得拒收质疑供应商在法定质疑期内发出的质疑函,应当在收到质疑函后7个工作日内作出答复,并以书面形式通知质疑供应商和其他有关供应商。</w:t>
      </w:r>
    </w:p>
    <w:p w14:paraId="60CEA863">
      <w:pPr>
        <w:pStyle w:val="14"/>
        <w:numPr>
          <w:ilvl w:val="1"/>
          <w:numId w:val="0"/>
        </w:numPr>
        <w:tabs>
          <w:tab w:val="left" w:pos="588"/>
        </w:tabs>
        <w:snapToGrid w:val="0"/>
        <w:spacing w:before="0" w:after="0" w:line="360" w:lineRule="auto"/>
        <w:jc w:val="left"/>
        <w:outlineLvl w:val="2"/>
        <w:rPr>
          <w:rFonts w:hint="eastAsia" w:ascii="仿宋" w:hAnsi="仿宋" w:eastAsia="仿宋" w:cs="仿宋"/>
          <w:sz w:val="24"/>
          <w:szCs w:val="24"/>
        </w:rPr>
      </w:pPr>
      <w:bookmarkStart w:id="583" w:name="_Toc15320"/>
      <w:bookmarkStart w:id="584" w:name="_Toc2710"/>
      <w:bookmarkStart w:id="585" w:name="_Toc16603"/>
      <w:bookmarkStart w:id="586" w:name="_Toc18556"/>
      <w:bookmarkStart w:id="587" w:name="_Toc22853"/>
      <w:r>
        <w:rPr>
          <w:rFonts w:hint="eastAsia" w:ascii="仿宋" w:hAnsi="仿宋" w:eastAsia="仿宋" w:cs="仿宋"/>
          <w:sz w:val="24"/>
          <w:szCs w:val="24"/>
        </w:rPr>
        <w:t>6.投诉</w:t>
      </w:r>
      <w:bookmarkEnd w:id="583"/>
      <w:bookmarkEnd w:id="584"/>
      <w:bookmarkEnd w:id="585"/>
      <w:bookmarkEnd w:id="586"/>
      <w:bookmarkEnd w:id="587"/>
    </w:p>
    <w:p w14:paraId="731EC896">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6.1质疑供应商对采购人、采购代理机构的答复不满意,或者采购人、采购代理机构未在规定时间内作出答复的,可以在答复期满后15个工作日内向《中华人民共和国财政部令第94号》规定的财政部门提起投诉。</w:t>
      </w:r>
    </w:p>
    <w:p w14:paraId="7F020E89">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6.2供应商投诉的事项不得超出已质疑事项的范围,但基于质疑答复内容提出的投诉事项除外。</w:t>
      </w:r>
    </w:p>
    <w:p w14:paraId="0CF49B47">
      <w:pPr>
        <w:pStyle w:val="14"/>
        <w:numPr>
          <w:ilvl w:val="1"/>
          <w:numId w:val="0"/>
        </w:numPr>
        <w:tabs>
          <w:tab w:val="left" w:pos="602"/>
        </w:tabs>
        <w:snapToGrid w:val="0"/>
        <w:spacing w:before="0" w:after="0" w:line="360" w:lineRule="auto"/>
        <w:jc w:val="left"/>
        <w:outlineLvl w:val="1"/>
        <w:rPr>
          <w:rFonts w:hint="eastAsia" w:ascii="仿宋" w:hAnsi="仿宋" w:eastAsia="仿宋" w:cs="仿宋"/>
          <w:sz w:val="28"/>
          <w:szCs w:val="28"/>
        </w:rPr>
      </w:pPr>
      <w:bookmarkStart w:id="588" w:name="_Toc12026"/>
      <w:bookmarkStart w:id="589" w:name="_Toc17000"/>
      <w:bookmarkStart w:id="590" w:name="_Toc179632598"/>
      <w:bookmarkStart w:id="591" w:name="_Toc447265270"/>
      <w:bookmarkStart w:id="592" w:name="_Toc152045580"/>
      <w:bookmarkStart w:id="593" w:name="_Toc144974547"/>
      <w:bookmarkStart w:id="594" w:name="_Toc447188709"/>
      <w:bookmarkStart w:id="595" w:name="_Toc447265556"/>
      <w:bookmarkStart w:id="596" w:name="_Toc246996967"/>
      <w:bookmarkStart w:id="597" w:name="_Toc246996224"/>
      <w:bookmarkStart w:id="598" w:name="_Toc247085738"/>
      <w:bookmarkStart w:id="599" w:name="_Toc296602467"/>
      <w:bookmarkStart w:id="600" w:name="_Toc4034"/>
      <w:bookmarkStart w:id="601" w:name="_Toc4571"/>
      <w:bookmarkStart w:id="602" w:name="_Toc152042357"/>
      <w:r>
        <w:rPr>
          <w:rFonts w:hint="eastAsia" w:ascii="仿宋" w:hAnsi="仿宋" w:eastAsia="仿宋" w:cs="仿宋"/>
          <w:sz w:val="28"/>
          <w:szCs w:val="28"/>
        </w:rPr>
        <w:t>十一、需要补充的其他内容</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1EF5AFDD">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需要补充的其他内容：见供应商须知前附表。</w:t>
      </w:r>
    </w:p>
    <w:p w14:paraId="5268662F">
      <w:pPr>
        <w:pStyle w:val="19"/>
        <w:spacing w:before="0" w:after="0" w:line="360" w:lineRule="auto"/>
        <w:rPr>
          <w:rFonts w:hint="eastAsia" w:ascii="仿宋" w:hAnsi="仿宋" w:eastAsia="仿宋" w:cs="仿宋"/>
          <w:bCs w:val="0"/>
          <w:kern w:val="2"/>
          <w:sz w:val="32"/>
          <w:szCs w:val="32"/>
        </w:rPr>
      </w:pPr>
      <w:r>
        <w:rPr>
          <w:rFonts w:hint="eastAsia" w:ascii="仿宋" w:hAnsi="仿宋" w:eastAsia="仿宋" w:cs="仿宋"/>
          <w:sz w:val="28"/>
          <w:szCs w:val="28"/>
        </w:rPr>
        <w:br w:type="page"/>
      </w:r>
      <w:bookmarkStart w:id="603" w:name="_Toc9609"/>
      <w:bookmarkStart w:id="604" w:name="_Toc447265273"/>
      <w:bookmarkStart w:id="605" w:name="_Toc4477"/>
      <w:bookmarkStart w:id="606" w:name="_Toc447265559"/>
      <w:r>
        <w:rPr>
          <w:rFonts w:hint="eastAsia" w:ascii="仿宋" w:hAnsi="仿宋" w:eastAsia="仿宋" w:cs="仿宋"/>
          <w:b/>
          <w:bCs w:val="0"/>
          <w:kern w:val="0"/>
          <w:sz w:val="32"/>
          <w:szCs w:val="32"/>
        </w:rPr>
        <w:t>第三章 评标办法（综合评分法）</w:t>
      </w:r>
      <w:bookmarkEnd w:id="603"/>
      <w:bookmarkEnd w:id="604"/>
      <w:bookmarkEnd w:id="605"/>
      <w:bookmarkEnd w:id="606"/>
    </w:p>
    <w:p w14:paraId="0A24FC0F">
      <w:pPr>
        <w:pStyle w:val="22"/>
        <w:numPr>
          <w:ilvl w:val="1"/>
          <w:numId w:val="0"/>
        </w:numPr>
        <w:tabs>
          <w:tab w:val="left" w:pos="360"/>
        </w:tabs>
        <w:spacing w:before="0" w:after="0" w:line="360" w:lineRule="auto"/>
        <w:rPr>
          <w:rFonts w:hint="eastAsia" w:ascii="仿宋" w:hAnsi="仿宋" w:eastAsia="仿宋" w:cs="仿宋"/>
          <w:b/>
          <w:bCs w:val="0"/>
        </w:rPr>
      </w:pPr>
      <w:bookmarkStart w:id="607" w:name="_Toc415510765"/>
      <w:bookmarkStart w:id="608" w:name="_Toc32130"/>
      <w:bookmarkStart w:id="609" w:name="_Toc399595586"/>
      <w:bookmarkStart w:id="610" w:name="_Toc483477196"/>
      <w:bookmarkStart w:id="611" w:name="_Toc433790638"/>
      <w:bookmarkStart w:id="612" w:name="_Toc415511704"/>
      <w:bookmarkStart w:id="613" w:name="_Toc415754330"/>
      <w:bookmarkStart w:id="614" w:name="_Toc10553"/>
      <w:bookmarkStart w:id="615" w:name="_Toc510018299"/>
      <w:bookmarkStart w:id="616" w:name="_Toc300834234"/>
      <w:bookmarkStart w:id="617" w:name="_Toc17518"/>
      <w:r>
        <w:rPr>
          <w:rFonts w:hint="eastAsia" w:ascii="仿宋" w:hAnsi="仿宋" w:eastAsia="仿宋" w:cs="仿宋"/>
          <w:b/>
          <w:bCs w:val="0"/>
        </w:rPr>
        <w:t>一、本次评标分为初步评审（资格后审）和详细评审（综合评分法）</w:t>
      </w:r>
      <w:bookmarkEnd w:id="607"/>
      <w:bookmarkEnd w:id="608"/>
      <w:bookmarkEnd w:id="609"/>
      <w:bookmarkEnd w:id="610"/>
      <w:bookmarkEnd w:id="611"/>
      <w:bookmarkEnd w:id="612"/>
      <w:bookmarkEnd w:id="613"/>
      <w:bookmarkEnd w:id="614"/>
      <w:bookmarkEnd w:id="615"/>
      <w:bookmarkEnd w:id="616"/>
      <w:bookmarkEnd w:id="617"/>
    </w:p>
    <w:p w14:paraId="47E67CE7">
      <w:pPr>
        <w:tabs>
          <w:tab w:val="left" w:pos="7665"/>
        </w:tabs>
        <w:spacing w:after="0" w:line="360" w:lineRule="auto"/>
        <w:ind w:firstLine="388" w:firstLineChars="200"/>
        <w:rPr>
          <w:rFonts w:hint="eastAsia" w:ascii="仿宋" w:hAnsi="仿宋" w:eastAsia="仿宋" w:cs="仿宋"/>
          <w:spacing w:val="-8"/>
          <w:szCs w:val="21"/>
        </w:rPr>
      </w:pPr>
      <w:r>
        <w:rPr>
          <w:rFonts w:hint="eastAsia" w:ascii="仿宋" w:hAnsi="仿宋" w:eastAsia="仿宋" w:cs="仿宋"/>
          <w:spacing w:val="-8"/>
          <w:szCs w:val="21"/>
        </w:rPr>
        <w:t>1）如有任何一项不符合初步审查标准的，则不通过初步评审，未通过初步评审的供应商做否决投标处理，不进入详细评审。</w:t>
      </w:r>
    </w:p>
    <w:p w14:paraId="70527F42">
      <w:pPr>
        <w:tabs>
          <w:tab w:val="left" w:pos="7665"/>
        </w:tabs>
        <w:spacing w:after="0" w:line="360" w:lineRule="auto"/>
        <w:ind w:firstLine="388" w:firstLineChars="200"/>
        <w:rPr>
          <w:rFonts w:hint="eastAsia" w:ascii="仿宋" w:hAnsi="仿宋" w:eastAsia="仿宋" w:cs="仿宋"/>
          <w:spacing w:val="-8"/>
          <w:sz w:val="24"/>
        </w:rPr>
      </w:pPr>
      <w:r>
        <w:rPr>
          <w:rFonts w:hint="eastAsia" w:ascii="仿宋" w:hAnsi="仿宋" w:eastAsia="仿宋" w:cs="仿宋"/>
          <w:spacing w:val="-8"/>
          <w:szCs w:val="21"/>
        </w:rPr>
        <w:t>2）请供应商应答时对该项目初步评审和详细评审做出相应索引页码（评分速查表），以便评委评阅文件，并请将该索引速查表置于投标文件首页。</w:t>
      </w:r>
    </w:p>
    <w:p w14:paraId="27E902E9">
      <w:pPr>
        <w:pStyle w:val="22"/>
        <w:numPr>
          <w:ilvl w:val="1"/>
          <w:numId w:val="0"/>
        </w:numPr>
        <w:tabs>
          <w:tab w:val="left" w:pos="360"/>
        </w:tabs>
        <w:spacing w:before="0" w:after="0" w:line="360" w:lineRule="auto"/>
        <w:ind w:left="573" w:hanging="573" w:hangingChars="204"/>
        <w:rPr>
          <w:rFonts w:hint="eastAsia" w:ascii="仿宋" w:hAnsi="仿宋" w:eastAsia="仿宋" w:cs="仿宋"/>
          <w:b/>
          <w:bCs w:val="0"/>
        </w:rPr>
      </w:pPr>
      <w:bookmarkStart w:id="618" w:name="_Toc23714"/>
      <w:bookmarkStart w:id="619" w:name="_Toc510018300"/>
      <w:bookmarkStart w:id="620" w:name="_Toc433790639"/>
      <w:bookmarkStart w:id="621" w:name="_Toc399595587"/>
      <w:bookmarkStart w:id="622" w:name="_Toc28730"/>
      <w:bookmarkStart w:id="623" w:name="_Toc415511705"/>
      <w:bookmarkStart w:id="624" w:name="_Toc15590"/>
      <w:bookmarkStart w:id="625" w:name="_Toc415510766"/>
      <w:bookmarkStart w:id="626" w:name="_Toc415754331"/>
      <w:bookmarkStart w:id="627" w:name="_Toc483477197"/>
      <w:bookmarkStart w:id="628" w:name="_Toc300834235"/>
      <w:r>
        <w:rPr>
          <w:rFonts w:hint="eastAsia" w:ascii="仿宋" w:hAnsi="仿宋" w:eastAsia="仿宋" w:cs="仿宋"/>
          <w:b/>
          <w:bCs w:val="0"/>
        </w:rPr>
        <w:t>二、初步评审</w:t>
      </w:r>
      <w:bookmarkEnd w:id="618"/>
      <w:bookmarkEnd w:id="619"/>
      <w:bookmarkEnd w:id="620"/>
      <w:bookmarkEnd w:id="621"/>
      <w:bookmarkEnd w:id="622"/>
      <w:bookmarkEnd w:id="623"/>
      <w:bookmarkEnd w:id="624"/>
      <w:bookmarkEnd w:id="625"/>
      <w:bookmarkEnd w:id="626"/>
      <w:bookmarkEnd w:id="627"/>
      <w:bookmarkEnd w:id="628"/>
    </w:p>
    <w:p w14:paraId="312168E8">
      <w:pPr>
        <w:tabs>
          <w:tab w:val="left" w:pos="7665"/>
        </w:tabs>
        <w:spacing w:after="0" w:line="360" w:lineRule="auto"/>
        <w:ind w:firstLine="388" w:firstLineChars="200"/>
        <w:rPr>
          <w:rFonts w:hint="eastAsia" w:ascii="仿宋" w:hAnsi="仿宋" w:eastAsia="仿宋" w:cs="仿宋"/>
          <w:spacing w:val="-8"/>
          <w:szCs w:val="21"/>
        </w:rPr>
      </w:pPr>
      <w:r>
        <w:rPr>
          <w:rFonts w:hint="eastAsia" w:ascii="仿宋" w:hAnsi="仿宋" w:eastAsia="仿宋" w:cs="仿宋"/>
          <w:spacing w:val="-8"/>
          <w:szCs w:val="21"/>
        </w:rPr>
        <w:t>初步评审分为资格性审查和符合性审查。</w:t>
      </w:r>
    </w:p>
    <w:p w14:paraId="69C251F6">
      <w:pPr>
        <w:tabs>
          <w:tab w:val="left" w:pos="7665"/>
        </w:tabs>
        <w:spacing w:after="0" w:line="360" w:lineRule="auto"/>
        <w:ind w:firstLine="388" w:firstLineChars="200"/>
        <w:rPr>
          <w:rFonts w:hint="eastAsia" w:ascii="仿宋" w:hAnsi="仿宋" w:eastAsia="仿宋" w:cs="仿宋"/>
          <w:spacing w:val="-8"/>
          <w:szCs w:val="21"/>
        </w:rPr>
      </w:pPr>
      <w:r>
        <w:rPr>
          <w:rFonts w:hint="eastAsia" w:ascii="仿宋" w:hAnsi="仿宋" w:eastAsia="仿宋" w:cs="仿宋"/>
          <w:spacing w:val="-8"/>
          <w:szCs w:val="21"/>
        </w:rPr>
        <w:t>1）资格性审查：采购人或者采购代理机构依据招标文件的规定，对投标文件中的供应商代表身份证明文件、资格证明文件、投标保证金等进行审查，以确定供应商是否具备投标资格。</w:t>
      </w:r>
    </w:p>
    <w:p w14:paraId="5ECF47B8">
      <w:pPr>
        <w:tabs>
          <w:tab w:val="left" w:pos="7665"/>
        </w:tabs>
        <w:spacing w:after="0" w:line="360" w:lineRule="auto"/>
        <w:ind w:firstLine="388" w:firstLineChars="200"/>
        <w:rPr>
          <w:rFonts w:hint="eastAsia" w:ascii="仿宋" w:hAnsi="仿宋" w:eastAsia="仿宋" w:cs="仿宋"/>
          <w:b/>
          <w:bCs/>
          <w:sz w:val="28"/>
          <w:szCs w:val="28"/>
        </w:rPr>
      </w:pPr>
      <w:r>
        <w:rPr>
          <w:rFonts w:hint="eastAsia" w:ascii="仿宋" w:hAnsi="仿宋" w:eastAsia="仿宋" w:cs="仿宋"/>
          <w:spacing w:val="-8"/>
          <w:szCs w:val="21"/>
        </w:rPr>
        <w:t>2）符合性审查：评标委员会依据招标文件的规定，从投标文件的有效性、完整性和对招标文件要求的全部条款的响应程度进行审查，以确定其是否满足招标文件的实质性要求，是否满足招标文件的报价要求。</w:t>
      </w:r>
    </w:p>
    <w:p w14:paraId="50FF59A0">
      <w:pPr>
        <w:pStyle w:val="22"/>
        <w:numPr>
          <w:ilvl w:val="1"/>
          <w:numId w:val="0"/>
        </w:numPr>
        <w:tabs>
          <w:tab w:val="left" w:pos="360"/>
        </w:tabs>
        <w:spacing w:before="0" w:after="0" w:line="360" w:lineRule="auto"/>
        <w:ind w:left="573" w:hanging="573" w:hangingChars="204"/>
        <w:rPr>
          <w:rFonts w:hint="eastAsia" w:ascii="仿宋" w:hAnsi="仿宋" w:eastAsia="仿宋" w:cs="仿宋"/>
          <w:b/>
          <w:bCs w:val="0"/>
        </w:rPr>
      </w:pPr>
      <w:r>
        <w:rPr>
          <w:rFonts w:hint="eastAsia" w:ascii="仿宋" w:hAnsi="仿宋" w:eastAsia="仿宋" w:cs="仿宋"/>
          <w:b/>
          <w:bCs w:val="0"/>
        </w:rPr>
        <w:br w:type="page"/>
      </w:r>
      <w:bookmarkStart w:id="629" w:name="_Toc29652"/>
      <w:bookmarkStart w:id="630" w:name="_Toc24427"/>
      <w:r>
        <w:rPr>
          <w:rFonts w:hint="eastAsia" w:ascii="仿宋" w:hAnsi="仿宋" w:eastAsia="仿宋" w:cs="仿宋"/>
          <w:b/>
          <w:bCs w:val="0"/>
        </w:rPr>
        <w:t>※三、初步评审标准</w:t>
      </w:r>
      <w:bookmarkEnd w:id="629"/>
      <w:bookmarkEnd w:id="630"/>
    </w:p>
    <w:p w14:paraId="6F1E2BA9">
      <w:pPr>
        <w:pStyle w:val="22"/>
        <w:numPr>
          <w:ilvl w:val="1"/>
          <w:numId w:val="0"/>
        </w:numPr>
        <w:tabs>
          <w:tab w:val="left" w:pos="360"/>
        </w:tabs>
        <w:spacing w:before="0" w:after="0" w:line="360" w:lineRule="auto"/>
        <w:ind w:left="582" w:hanging="582" w:hangingChars="204"/>
        <w:outlineLvl w:val="2"/>
        <w:rPr>
          <w:rFonts w:hint="eastAsia" w:ascii="仿宋" w:hAnsi="仿宋" w:eastAsia="仿宋" w:cs="仿宋"/>
          <w:b/>
          <w:bCs w:val="0"/>
          <w:spacing w:val="2"/>
        </w:rPr>
      </w:pPr>
      <w:bookmarkStart w:id="631" w:name="_Toc14522"/>
      <w:bookmarkStart w:id="632" w:name="_Toc20118"/>
      <w:bookmarkStart w:id="633" w:name="_Hlk10577679"/>
      <w:r>
        <w:rPr>
          <w:rFonts w:hint="eastAsia" w:ascii="仿宋" w:hAnsi="仿宋" w:eastAsia="仿宋" w:cs="仿宋"/>
          <w:b/>
          <w:bCs w:val="0"/>
          <w:spacing w:val="2"/>
        </w:rPr>
        <w:t>1.资格评审标准表</w:t>
      </w:r>
      <w:bookmarkEnd w:id="631"/>
      <w:bookmarkEnd w:id="632"/>
    </w:p>
    <w:tbl>
      <w:tblPr>
        <w:tblStyle w:val="16"/>
        <w:tblW w:w="86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32"/>
        <w:gridCol w:w="675"/>
        <w:gridCol w:w="1095"/>
        <w:gridCol w:w="6506"/>
      </w:tblGrid>
      <w:tr w14:paraId="07FD1E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tblHeader/>
        </w:trPr>
        <w:tc>
          <w:tcPr>
            <w:tcW w:w="1007" w:type="dxa"/>
            <w:gridSpan w:val="2"/>
            <w:tcBorders>
              <w:top w:val="single" w:color="auto" w:sz="4" w:space="0"/>
              <w:bottom w:val="single" w:color="auto" w:sz="4" w:space="0"/>
              <w:right w:val="single" w:color="auto" w:sz="4" w:space="0"/>
            </w:tcBorders>
            <w:vAlign w:val="center"/>
          </w:tcPr>
          <w:p w14:paraId="737DD8BE">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条款号</w:t>
            </w:r>
          </w:p>
        </w:tc>
        <w:tc>
          <w:tcPr>
            <w:tcW w:w="1095" w:type="dxa"/>
            <w:tcBorders>
              <w:top w:val="single" w:color="auto" w:sz="4" w:space="0"/>
              <w:left w:val="single" w:color="auto" w:sz="4" w:space="0"/>
              <w:bottom w:val="single" w:color="auto" w:sz="4" w:space="0"/>
              <w:right w:val="single" w:color="auto" w:sz="4" w:space="0"/>
            </w:tcBorders>
            <w:vAlign w:val="center"/>
          </w:tcPr>
          <w:p w14:paraId="3DF0F606">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评审因素</w:t>
            </w:r>
          </w:p>
        </w:tc>
        <w:tc>
          <w:tcPr>
            <w:tcW w:w="6506" w:type="dxa"/>
            <w:tcBorders>
              <w:top w:val="single" w:color="auto" w:sz="4" w:space="0"/>
              <w:left w:val="single" w:color="auto" w:sz="4" w:space="0"/>
              <w:bottom w:val="single" w:color="auto" w:sz="4" w:space="0"/>
              <w:right w:val="single" w:color="auto" w:sz="4" w:space="0"/>
            </w:tcBorders>
            <w:vAlign w:val="center"/>
          </w:tcPr>
          <w:p w14:paraId="601B078A">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评审标准</w:t>
            </w:r>
          </w:p>
        </w:tc>
      </w:tr>
      <w:tr w14:paraId="52A41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93" w:hRule="atLeast"/>
        </w:trPr>
        <w:tc>
          <w:tcPr>
            <w:tcW w:w="332" w:type="dxa"/>
            <w:vMerge w:val="restart"/>
            <w:tcBorders>
              <w:right w:val="single" w:color="auto" w:sz="4" w:space="0"/>
            </w:tcBorders>
            <w:vAlign w:val="center"/>
          </w:tcPr>
          <w:p w14:paraId="147FB89B">
            <w:pPr>
              <w:adjustRightInd w:val="0"/>
              <w:snapToGrid w:val="0"/>
              <w:spacing w:after="0" w:line="360" w:lineRule="auto"/>
              <w:jc w:val="center"/>
              <w:rPr>
                <w:rFonts w:hint="eastAsia" w:ascii="仿宋" w:hAnsi="仿宋" w:eastAsia="仿宋" w:cs="仿宋"/>
                <w:szCs w:val="21"/>
              </w:rPr>
            </w:pPr>
          </w:p>
        </w:tc>
        <w:tc>
          <w:tcPr>
            <w:tcW w:w="675" w:type="dxa"/>
            <w:vMerge w:val="restart"/>
            <w:tcBorders>
              <w:right w:val="single" w:color="auto" w:sz="4" w:space="0"/>
            </w:tcBorders>
            <w:vAlign w:val="center"/>
          </w:tcPr>
          <w:p w14:paraId="02D9BCDF">
            <w:pPr>
              <w:adjustRightInd w:val="0"/>
              <w:snapToGrid w:val="0"/>
              <w:spacing w:after="0" w:line="360" w:lineRule="auto"/>
              <w:jc w:val="center"/>
              <w:rPr>
                <w:rFonts w:hint="eastAsia" w:ascii="仿宋" w:hAnsi="仿宋" w:eastAsia="仿宋" w:cs="仿宋"/>
                <w:szCs w:val="21"/>
              </w:rPr>
            </w:pPr>
          </w:p>
        </w:tc>
        <w:tc>
          <w:tcPr>
            <w:tcW w:w="1095" w:type="dxa"/>
            <w:tcBorders>
              <w:top w:val="single" w:color="auto" w:sz="4" w:space="0"/>
              <w:left w:val="single" w:color="auto" w:sz="4" w:space="0"/>
              <w:bottom w:val="single" w:color="auto" w:sz="4" w:space="0"/>
              <w:right w:val="single" w:color="auto" w:sz="4" w:space="0"/>
            </w:tcBorders>
            <w:vAlign w:val="center"/>
          </w:tcPr>
          <w:p w14:paraId="762F7114">
            <w:pPr>
              <w:widowControl/>
              <w:snapToGrid w:val="0"/>
              <w:spacing w:after="0" w:line="360" w:lineRule="auto"/>
              <w:jc w:val="center"/>
              <w:rPr>
                <w:rFonts w:hint="eastAsia" w:ascii="仿宋" w:hAnsi="仿宋" w:eastAsia="仿宋" w:cs="仿宋"/>
                <w:szCs w:val="21"/>
              </w:rPr>
            </w:pPr>
            <w:r>
              <w:rPr>
                <w:rFonts w:hint="eastAsia" w:ascii="仿宋" w:hAnsi="仿宋" w:eastAsia="仿宋" w:cs="仿宋"/>
                <w:kern w:val="0"/>
                <w:sz w:val="20"/>
                <w:szCs w:val="20"/>
                <w:lang w:bidi="ar"/>
              </w:rPr>
              <w:t>政府采购法第二十二条</w:t>
            </w:r>
          </w:p>
        </w:tc>
        <w:tc>
          <w:tcPr>
            <w:tcW w:w="6506" w:type="dxa"/>
            <w:tcBorders>
              <w:top w:val="single" w:color="auto" w:sz="4" w:space="0"/>
              <w:left w:val="single" w:color="auto" w:sz="4" w:space="0"/>
              <w:bottom w:val="single" w:color="auto" w:sz="4" w:space="0"/>
              <w:right w:val="single" w:color="auto" w:sz="4" w:space="0"/>
            </w:tcBorders>
            <w:vAlign w:val="center"/>
          </w:tcPr>
          <w:p w14:paraId="151203B5">
            <w:pPr>
              <w:widowControl/>
              <w:spacing w:after="0" w:line="288" w:lineRule="auto"/>
              <w:textAlignment w:val="center"/>
              <w:rPr>
                <w:rFonts w:hint="eastAsia" w:ascii="仿宋" w:hAnsi="仿宋" w:eastAsia="仿宋" w:cs="仿宋"/>
                <w:color w:val="auto"/>
                <w:kern w:val="0"/>
                <w:sz w:val="20"/>
                <w:szCs w:val="20"/>
                <w:lang w:bidi="ar"/>
              </w:rPr>
            </w:pPr>
            <w:r>
              <w:rPr>
                <w:rFonts w:hint="eastAsia" w:ascii="仿宋" w:hAnsi="仿宋" w:eastAsia="仿宋" w:cs="仿宋"/>
                <w:color w:val="auto"/>
                <w:kern w:val="0"/>
                <w:sz w:val="20"/>
                <w:szCs w:val="20"/>
                <w:lang w:bidi="ar"/>
              </w:rPr>
              <w:t>（一）具有独立承担民事责任的能力；（提供有效期内的营业执照</w:t>
            </w:r>
            <w:r>
              <w:rPr>
                <w:rFonts w:hint="eastAsia" w:ascii="仿宋" w:hAnsi="仿宋" w:eastAsia="仿宋" w:cs="仿宋"/>
                <w:color w:val="auto"/>
                <w:kern w:val="0"/>
                <w:sz w:val="20"/>
                <w:szCs w:val="20"/>
                <w:lang w:val="en-US" w:eastAsia="zh-CN" w:bidi="ar"/>
              </w:rPr>
              <w:t>或事业单位法人证书</w:t>
            </w:r>
            <w:r>
              <w:rPr>
                <w:rFonts w:hint="eastAsia" w:ascii="仿宋" w:hAnsi="仿宋" w:eastAsia="仿宋" w:cs="仿宋"/>
                <w:color w:val="auto"/>
                <w:kern w:val="0"/>
                <w:sz w:val="20"/>
                <w:szCs w:val="20"/>
                <w:lang w:bidi="ar"/>
              </w:rPr>
              <w:t>，）</w:t>
            </w:r>
          </w:p>
          <w:p w14:paraId="3F9B03E2">
            <w:pPr>
              <w:widowControl/>
              <w:spacing w:after="0" w:line="288" w:lineRule="auto"/>
              <w:textAlignment w:val="center"/>
              <w:rPr>
                <w:rFonts w:hint="eastAsia" w:ascii="仿宋" w:hAnsi="仿宋" w:eastAsia="仿宋" w:cs="仿宋"/>
                <w:color w:val="auto"/>
                <w:kern w:val="0"/>
                <w:sz w:val="20"/>
                <w:szCs w:val="20"/>
                <w:lang w:bidi="ar"/>
              </w:rPr>
            </w:pPr>
            <w:r>
              <w:rPr>
                <w:rFonts w:hint="eastAsia" w:ascii="仿宋" w:hAnsi="仿宋" w:eastAsia="仿宋" w:cs="仿宋"/>
                <w:color w:val="auto"/>
                <w:kern w:val="0"/>
                <w:sz w:val="20"/>
                <w:szCs w:val="20"/>
                <w:lang w:bidi="ar"/>
              </w:rPr>
              <w:t>（二）具有良好的商业信誉和健全的财务会计制度；（提供202</w:t>
            </w:r>
            <w:r>
              <w:rPr>
                <w:rFonts w:hint="eastAsia" w:ascii="仿宋" w:hAnsi="仿宋" w:eastAsia="仿宋" w:cs="仿宋"/>
                <w:color w:val="auto"/>
                <w:kern w:val="0"/>
                <w:sz w:val="20"/>
                <w:szCs w:val="20"/>
                <w:lang w:val="en-US" w:eastAsia="zh-CN" w:bidi="ar"/>
              </w:rPr>
              <w:t>4</w:t>
            </w:r>
            <w:r>
              <w:rPr>
                <w:rFonts w:hint="eastAsia" w:ascii="仿宋" w:hAnsi="仿宋" w:eastAsia="仿宋" w:cs="仿宋"/>
                <w:color w:val="auto"/>
                <w:kern w:val="0"/>
                <w:sz w:val="20"/>
                <w:szCs w:val="20"/>
                <w:lang w:bidi="ar"/>
              </w:rPr>
              <w:t>年或202</w:t>
            </w:r>
            <w:r>
              <w:rPr>
                <w:rFonts w:hint="eastAsia" w:ascii="仿宋" w:hAnsi="仿宋" w:eastAsia="仿宋" w:cs="仿宋"/>
                <w:color w:val="auto"/>
                <w:kern w:val="0"/>
                <w:sz w:val="20"/>
                <w:szCs w:val="20"/>
                <w:lang w:val="en-US" w:eastAsia="zh-CN" w:bidi="ar"/>
              </w:rPr>
              <w:t>5</w:t>
            </w:r>
            <w:r>
              <w:rPr>
                <w:rFonts w:hint="eastAsia" w:ascii="仿宋" w:hAnsi="仿宋" w:eastAsia="仿宋" w:cs="仿宋"/>
                <w:color w:val="auto"/>
                <w:kern w:val="0"/>
                <w:sz w:val="20"/>
                <w:szCs w:val="20"/>
                <w:lang w:bidi="ar"/>
              </w:rPr>
              <w:t>年度财务状况报告或银行资信证明</w:t>
            </w:r>
            <w:r>
              <w:rPr>
                <w:rFonts w:hint="eastAsia" w:ascii="仿宋" w:hAnsi="仿宋" w:eastAsia="仿宋" w:cs="仿宋"/>
                <w:color w:val="auto"/>
                <w:kern w:val="0"/>
                <w:sz w:val="20"/>
                <w:szCs w:val="20"/>
                <w:lang w:val="en-US" w:eastAsia="zh-CN" w:bidi="ar"/>
              </w:rPr>
              <w:t>或承诺函</w:t>
            </w:r>
            <w:r>
              <w:rPr>
                <w:rFonts w:hint="eastAsia" w:ascii="仿宋" w:hAnsi="仿宋" w:eastAsia="仿宋" w:cs="仿宋"/>
                <w:color w:val="auto"/>
                <w:kern w:val="0"/>
                <w:sz w:val="20"/>
                <w:szCs w:val="20"/>
                <w:lang w:bidi="ar"/>
              </w:rPr>
              <w:t>；</w:t>
            </w:r>
          </w:p>
          <w:p w14:paraId="7703E20D">
            <w:pPr>
              <w:widowControl/>
              <w:spacing w:after="0" w:line="288" w:lineRule="auto"/>
              <w:textAlignment w:val="center"/>
              <w:rPr>
                <w:rFonts w:hint="eastAsia" w:ascii="仿宋" w:hAnsi="仿宋" w:eastAsia="仿宋" w:cs="仿宋"/>
                <w:color w:val="auto"/>
                <w:kern w:val="0"/>
                <w:sz w:val="20"/>
                <w:szCs w:val="20"/>
                <w:lang w:bidi="ar"/>
              </w:rPr>
            </w:pPr>
            <w:r>
              <w:rPr>
                <w:rFonts w:hint="eastAsia" w:ascii="仿宋" w:hAnsi="仿宋" w:eastAsia="仿宋" w:cs="仿宋"/>
                <w:color w:val="auto"/>
                <w:kern w:val="0"/>
                <w:sz w:val="20"/>
                <w:szCs w:val="20"/>
                <w:lang w:bidi="ar"/>
              </w:rPr>
              <w:t>（三）具有履行合同所必需的设备和专业技术能力；（提供承诺）</w:t>
            </w:r>
          </w:p>
          <w:p w14:paraId="6EED4333">
            <w:pPr>
              <w:widowControl/>
              <w:spacing w:after="0" w:line="288" w:lineRule="auto"/>
              <w:textAlignment w:val="center"/>
              <w:rPr>
                <w:rFonts w:hint="eastAsia" w:ascii="仿宋" w:hAnsi="仿宋" w:eastAsia="仿宋" w:cs="仿宋"/>
                <w:color w:val="auto"/>
                <w:kern w:val="0"/>
                <w:sz w:val="20"/>
                <w:szCs w:val="20"/>
                <w:lang w:bidi="ar"/>
              </w:rPr>
            </w:pPr>
            <w:r>
              <w:rPr>
                <w:rFonts w:hint="eastAsia" w:ascii="仿宋" w:hAnsi="仿宋" w:eastAsia="仿宋" w:cs="仿宋"/>
                <w:color w:val="auto"/>
                <w:kern w:val="0"/>
                <w:sz w:val="20"/>
                <w:szCs w:val="20"/>
                <w:lang w:bidi="ar"/>
              </w:rPr>
              <w:t>（四）有依法缴纳税收和社会保障资金的良好记录；（提供2025年5月至今任意一个月的依法缴纳税收和社保的证明材料</w:t>
            </w:r>
            <w:r>
              <w:rPr>
                <w:rFonts w:hint="eastAsia" w:ascii="仿宋" w:hAnsi="仿宋" w:eastAsia="仿宋" w:cs="仿宋"/>
                <w:color w:val="auto"/>
                <w:kern w:val="0"/>
                <w:sz w:val="20"/>
                <w:szCs w:val="20"/>
                <w:lang w:val="en-US" w:eastAsia="zh-CN" w:bidi="ar"/>
              </w:rPr>
              <w:t>或承诺函</w:t>
            </w:r>
            <w:r>
              <w:rPr>
                <w:rFonts w:hint="eastAsia" w:ascii="仿宋" w:hAnsi="仿宋" w:eastAsia="仿宋" w:cs="仿宋"/>
                <w:color w:val="auto"/>
                <w:kern w:val="0"/>
                <w:sz w:val="20"/>
                <w:szCs w:val="20"/>
                <w:lang w:bidi="ar"/>
              </w:rPr>
              <w:t>；</w:t>
            </w:r>
          </w:p>
          <w:p w14:paraId="1262D506">
            <w:pPr>
              <w:widowControl/>
              <w:spacing w:after="0" w:line="288" w:lineRule="auto"/>
              <w:textAlignment w:val="center"/>
              <w:rPr>
                <w:rFonts w:hint="eastAsia" w:ascii="仿宋" w:hAnsi="仿宋" w:eastAsia="仿宋" w:cs="仿宋"/>
                <w:kern w:val="0"/>
                <w:sz w:val="20"/>
                <w:szCs w:val="20"/>
                <w:lang w:bidi="ar"/>
              </w:rPr>
            </w:pPr>
            <w:r>
              <w:rPr>
                <w:rFonts w:hint="eastAsia" w:ascii="仿宋" w:hAnsi="仿宋" w:eastAsia="仿宋" w:cs="仿宋"/>
                <w:kern w:val="0"/>
                <w:sz w:val="20"/>
                <w:szCs w:val="20"/>
                <w:lang w:bidi="ar"/>
              </w:rPr>
              <w:t>（五）参加政府采购活动前三年内，在经营活动中没有重大违法记录；（提供承诺）</w:t>
            </w:r>
          </w:p>
          <w:p w14:paraId="749309A3">
            <w:pPr>
              <w:widowControl/>
              <w:spacing w:after="0" w:line="288" w:lineRule="auto"/>
              <w:textAlignment w:val="center"/>
              <w:rPr>
                <w:rFonts w:hint="eastAsia" w:ascii="仿宋" w:hAnsi="仿宋" w:eastAsia="仿宋" w:cs="仿宋"/>
                <w:kern w:val="0"/>
                <w:sz w:val="20"/>
                <w:szCs w:val="20"/>
                <w:lang w:bidi="ar"/>
              </w:rPr>
            </w:pPr>
            <w:r>
              <w:rPr>
                <w:rFonts w:hint="eastAsia" w:ascii="仿宋" w:hAnsi="仿宋" w:eastAsia="仿宋" w:cs="仿宋"/>
                <w:kern w:val="0"/>
                <w:sz w:val="20"/>
                <w:szCs w:val="20"/>
                <w:lang w:bidi="ar"/>
              </w:rPr>
              <w:t>（六）法律、行政法规规定的其他条件。（提供承诺）</w:t>
            </w:r>
          </w:p>
          <w:p w14:paraId="47E5B6D6">
            <w:pPr>
              <w:widowControl/>
              <w:spacing w:after="0" w:line="288" w:lineRule="auto"/>
              <w:textAlignment w:val="center"/>
              <w:rPr>
                <w:rFonts w:hint="eastAsia" w:ascii="仿宋" w:hAnsi="仿宋" w:eastAsia="仿宋" w:cs="仿宋"/>
                <w:szCs w:val="21"/>
              </w:rPr>
            </w:pPr>
            <w:r>
              <w:rPr>
                <w:rFonts w:hint="eastAsia" w:ascii="仿宋" w:hAnsi="仿宋" w:eastAsia="仿宋" w:cs="仿宋"/>
                <w:kern w:val="0"/>
                <w:sz w:val="20"/>
                <w:szCs w:val="20"/>
                <w:lang w:bidi="ar"/>
              </w:rPr>
              <w:t>注：新成立的单位提供成立至今的以上证明材料，全部满足为合格，任意一条不满足为不合格。</w:t>
            </w:r>
          </w:p>
        </w:tc>
      </w:tr>
      <w:tr w14:paraId="24AA9D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23" w:hRule="atLeast"/>
        </w:trPr>
        <w:tc>
          <w:tcPr>
            <w:tcW w:w="332" w:type="dxa"/>
            <w:vMerge w:val="continue"/>
            <w:tcBorders>
              <w:right w:val="single" w:color="auto" w:sz="4" w:space="0"/>
            </w:tcBorders>
            <w:vAlign w:val="center"/>
          </w:tcPr>
          <w:p w14:paraId="7CFBC92C">
            <w:pPr>
              <w:adjustRightInd w:val="0"/>
              <w:snapToGrid w:val="0"/>
              <w:spacing w:after="0" w:line="360" w:lineRule="auto"/>
              <w:jc w:val="center"/>
              <w:rPr>
                <w:rFonts w:hint="eastAsia" w:ascii="仿宋" w:hAnsi="仿宋" w:eastAsia="仿宋" w:cs="仿宋"/>
                <w:szCs w:val="21"/>
              </w:rPr>
            </w:pPr>
          </w:p>
        </w:tc>
        <w:tc>
          <w:tcPr>
            <w:tcW w:w="675" w:type="dxa"/>
            <w:vMerge w:val="continue"/>
            <w:tcBorders>
              <w:right w:val="single" w:color="auto" w:sz="4" w:space="0"/>
            </w:tcBorders>
            <w:vAlign w:val="center"/>
          </w:tcPr>
          <w:p w14:paraId="62619F6F">
            <w:pPr>
              <w:adjustRightInd w:val="0"/>
              <w:snapToGrid w:val="0"/>
              <w:spacing w:after="0" w:line="360" w:lineRule="auto"/>
              <w:jc w:val="center"/>
              <w:rPr>
                <w:rFonts w:hint="eastAsia" w:ascii="仿宋" w:hAnsi="仿宋" w:eastAsia="仿宋" w:cs="仿宋"/>
                <w:szCs w:val="21"/>
              </w:rPr>
            </w:pPr>
          </w:p>
        </w:tc>
        <w:tc>
          <w:tcPr>
            <w:tcW w:w="1095" w:type="dxa"/>
            <w:tcBorders>
              <w:top w:val="single" w:color="auto" w:sz="4" w:space="0"/>
              <w:left w:val="single" w:color="auto" w:sz="4" w:space="0"/>
              <w:bottom w:val="single" w:color="auto" w:sz="4" w:space="0"/>
              <w:right w:val="single" w:color="auto" w:sz="4" w:space="0"/>
            </w:tcBorders>
            <w:vAlign w:val="center"/>
          </w:tcPr>
          <w:p w14:paraId="562E484E">
            <w:pPr>
              <w:widowControl/>
              <w:spacing w:after="0"/>
              <w:jc w:val="center"/>
              <w:textAlignment w:val="center"/>
              <w:rPr>
                <w:rFonts w:hint="eastAsia" w:ascii="仿宋" w:hAnsi="仿宋" w:eastAsia="仿宋" w:cs="仿宋"/>
                <w:kern w:val="0"/>
                <w:szCs w:val="21"/>
              </w:rPr>
            </w:pPr>
            <w:r>
              <w:rPr>
                <w:rFonts w:hint="eastAsia" w:ascii="仿宋" w:hAnsi="仿宋" w:eastAsia="仿宋" w:cs="仿宋"/>
                <w:kern w:val="0"/>
                <w:sz w:val="20"/>
                <w:szCs w:val="20"/>
                <w:lang w:bidi="ar"/>
              </w:rPr>
              <w:t>信誉要求</w:t>
            </w:r>
          </w:p>
        </w:tc>
        <w:tc>
          <w:tcPr>
            <w:tcW w:w="6506" w:type="dxa"/>
            <w:tcBorders>
              <w:top w:val="single" w:color="auto" w:sz="4" w:space="0"/>
              <w:left w:val="single" w:color="auto" w:sz="4" w:space="0"/>
              <w:bottom w:val="single" w:color="auto" w:sz="4" w:space="0"/>
              <w:right w:val="single" w:color="auto" w:sz="4" w:space="0"/>
            </w:tcBorders>
            <w:vAlign w:val="center"/>
          </w:tcPr>
          <w:p w14:paraId="4898B027">
            <w:pPr>
              <w:widowControl/>
              <w:spacing w:after="0"/>
              <w:textAlignment w:val="center"/>
              <w:rPr>
                <w:rFonts w:hint="eastAsia" w:ascii="仿宋" w:hAnsi="仿宋" w:eastAsia="仿宋" w:cs="仿宋"/>
                <w:kern w:val="0"/>
                <w:szCs w:val="21"/>
              </w:rPr>
            </w:pPr>
            <w:r>
              <w:rPr>
                <w:rFonts w:hint="eastAsia" w:ascii="仿宋" w:hAnsi="仿宋" w:eastAsia="仿宋" w:cs="仿宋"/>
                <w:kern w:val="0"/>
                <w:szCs w:val="21"/>
              </w:rPr>
              <w:t>202</w:t>
            </w:r>
            <w:r>
              <w:rPr>
                <w:rFonts w:hint="eastAsia" w:ascii="仿宋" w:hAnsi="仿宋" w:eastAsia="仿宋" w:cs="仿宋"/>
                <w:kern w:val="0"/>
                <w:szCs w:val="21"/>
                <w:lang w:val="en-US" w:eastAsia="zh-CN"/>
              </w:rPr>
              <w:t>3</w:t>
            </w:r>
            <w:r>
              <w:rPr>
                <w:rFonts w:hint="eastAsia" w:ascii="仿宋" w:hAnsi="仿宋" w:eastAsia="仿宋" w:cs="仿宋"/>
                <w:kern w:val="0"/>
                <w:szCs w:val="21"/>
              </w:rPr>
              <w:t>年</w:t>
            </w:r>
            <w:r>
              <w:rPr>
                <w:rFonts w:hint="eastAsia" w:ascii="仿宋" w:hAnsi="仿宋" w:eastAsia="仿宋" w:cs="仿宋"/>
                <w:kern w:val="0"/>
                <w:szCs w:val="21"/>
                <w:lang w:val="en-US" w:eastAsia="zh-CN"/>
              </w:rPr>
              <w:t>04</w:t>
            </w:r>
            <w:r>
              <w:rPr>
                <w:rFonts w:hint="eastAsia" w:ascii="仿宋" w:hAnsi="仿宋" w:eastAsia="仿宋" w:cs="仿宋"/>
                <w:kern w:val="0"/>
                <w:szCs w:val="21"/>
              </w:rPr>
              <w:t>月至今，未被列入“信用中国”（http://www.creditchina.gov.cn/）的①“失信被执行人”、②“重大税收违法失信主体”，③中国政府采购网（www.ccgp.gov.cn）的“政府采购严重违法失信行为记录名单”（1、提供查询截图；）。</w:t>
            </w:r>
          </w:p>
        </w:tc>
      </w:tr>
    </w:tbl>
    <w:p w14:paraId="4E4B712C">
      <w:pPr>
        <w:spacing w:after="0" w:line="360" w:lineRule="auto"/>
        <w:rPr>
          <w:rFonts w:hint="eastAsia" w:ascii="仿宋" w:hAnsi="仿宋" w:eastAsia="仿宋" w:cs="仿宋"/>
          <w:b/>
          <w:bCs/>
          <w:szCs w:val="21"/>
        </w:rPr>
      </w:pPr>
      <w:r>
        <w:rPr>
          <w:rFonts w:hint="eastAsia" w:ascii="仿宋" w:hAnsi="仿宋" w:eastAsia="仿宋" w:cs="仿宋"/>
          <w:b/>
          <w:bCs/>
          <w:szCs w:val="21"/>
        </w:rPr>
        <w:t>注：上述资格评审标准在开标结束后，由采购人代表或采购代理机构进行评审，</w:t>
      </w:r>
      <w:r>
        <w:rPr>
          <w:rFonts w:hint="eastAsia" w:ascii="仿宋" w:hAnsi="仿宋" w:eastAsia="仿宋" w:cs="仿宋"/>
          <w:b/>
          <w:szCs w:val="21"/>
        </w:rPr>
        <w:t>全部满足为合格，任意一条不满足为不合格，</w:t>
      </w:r>
      <w:r>
        <w:rPr>
          <w:rFonts w:hint="eastAsia" w:ascii="仿宋" w:hAnsi="仿宋" w:eastAsia="仿宋" w:cs="仿宋"/>
          <w:b/>
          <w:bCs/>
          <w:szCs w:val="21"/>
        </w:rPr>
        <w:t>资格审查未通过的单位，将做否决投标处理，不进入后续评审环节！</w:t>
      </w:r>
    </w:p>
    <w:p w14:paraId="3F418E2F">
      <w:pPr>
        <w:pStyle w:val="22"/>
        <w:numPr>
          <w:ilvl w:val="1"/>
          <w:numId w:val="0"/>
        </w:numPr>
        <w:tabs>
          <w:tab w:val="left" w:pos="360"/>
        </w:tabs>
        <w:spacing w:before="0" w:after="0" w:line="360" w:lineRule="auto"/>
        <w:ind w:left="582" w:hanging="582" w:hangingChars="204"/>
        <w:outlineLvl w:val="2"/>
        <w:rPr>
          <w:rFonts w:hint="eastAsia" w:ascii="仿宋" w:hAnsi="仿宋" w:eastAsia="仿宋" w:cs="仿宋"/>
          <w:b/>
          <w:bCs w:val="0"/>
          <w:spacing w:val="2"/>
        </w:rPr>
      </w:pPr>
      <w:bookmarkStart w:id="634" w:name="_Toc32605"/>
      <w:r>
        <w:rPr>
          <w:rFonts w:hint="eastAsia" w:ascii="仿宋" w:hAnsi="仿宋" w:eastAsia="仿宋" w:cs="仿宋"/>
          <w:b/>
          <w:bCs w:val="0"/>
          <w:spacing w:val="2"/>
        </w:rPr>
        <w:br w:type="page"/>
      </w:r>
      <w:bookmarkStart w:id="635" w:name="_Toc346"/>
      <w:r>
        <w:rPr>
          <w:rFonts w:hint="eastAsia" w:ascii="仿宋" w:hAnsi="仿宋" w:eastAsia="仿宋" w:cs="仿宋"/>
          <w:b/>
          <w:bCs w:val="0"/>
          <w:spacing w:val="2"/>
        </w:rPr>
        <w:t>2.符合性审查评审标准表</w:t>
      </w:r>
      <w:bookmarkEnd w:id="634"/>
      <w:bookmarkEnd w:id="635"/>
    </w:p>
    <w:tbl>
      <w:tblPr>
        <w:tblStyle w:val="16"/>
        <w:tblW w:w="86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32"/>
        <w:gridCol w:w="795"/>
        <w:gridCol w:w="1739"/>
        <w:gridCol w:w="5742"/>
      </w:tblGrid>
      <w:tr w14:paraId="798034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tblHeader/>
        </w:trPr>
        <w:tc>
          <w:tcPr>
            <w:tcW w:w="1127" w:type="dxa"/>
            <w:gridSpan w:val="2"/>
            <w:tcBorders>
              <w:top w:val="single" w:color="auto" w:sz="4" w:space="0"/>
              <w:bottom w:val="single" w:color="auto" w:sz="4" w:space="0"/>
              <w:right w:val="single" w:color="auto" w:sz="4" w:space="0"/>
            </w:tcBorders>
            <w:vAlign w:val="center"/>
          </w:tcPr>
          <w:p w14:paraId="50F87BD0">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条款号</w:t>
            </w:r>
          </w:p>
        </w:tc>
        <w:tc>
          <w:tcPr>
            <w:tcW w:w="1739" w:type="dxa"/>
            <w:tcBorders>
              <w:top w:val="single" w:color="auto" w:sz="4" w:space="0"/>
              <w:left w:val="single" w:color="auto" w:sz="4" w:space="0"/>
              <w:bottom w:val="single" w:color="auto" w:sz="4" w:space="0"/>
              <w:right w:val="single" w:color="auto" w:sz="4" w:space="0"/>
            </w:tcBorders>
            <w:vAlign w:val="center"/>
          </w:tcPr>
          <w:p w14:paraId="67B2B320">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评审因素</w:t>
            </w:r>
          </w:p>
        </w:tc>
        <w:tc>
          <w:tcPr>
            <w:tcW w:w="5742" w:type="dxa"/>
            <w:tcBorders>
              <w:top w:val="single" w:color="auto" w:sz="4" w:space="0"/>
              <w:left w:val="single" w:color="auto" w:sz="4" w:space="0"/>
              <w:bottom w:val="single" w:color="auto" w:sz="4" w:space="0"/>
              <w:right w:val="single" w:color="auto" w:sz="4" w:space="0"/>
            </w:tcBorders>
            <w:vAlign w:val="center"/>
          </w:tcPr>
          <w:p w14:paraId="4D8EC74A">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评审标准</w:t>
            </w:r>
          </w:p>
        </w:tc>
      </w:tr>
      <w:tr w14:paraId="3B0697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3" w:hRule="atLeast"/>
        </w:trPr>
        <w:tc>
          <w:tcPr>
            <w:tcW w:w="332" w:type="dxa"/>
            <w:vMerge w:val="restart"/>
            <w:tcBorders>
              <w:top w:val="single" w:color="auto" w:sz="4" w:space="0"/>
              <w:right w:val="single" w:color="auto" w:sz="4" w:space="0"/>
            </w:tcBorders>
            <w:vAlign w:val="center"/>
          </w:tcPr>
          <w:p w14:paraId="466EE62A">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2</w:t>
            </w:r>
          </w:p>
        </w:tc>
        <w:tc>
          <w:tcPr>
            <w:tcW w:w="795" w:type="dxa"/>
            <w:vMerge w:val="restart"/>
            <w:tcBorders>
              <w:top w:val="single" w:color="auto" w:sz="4" w:space="0"/>
              <w:right w:val="single" w:color="auto" w:sz="4" w:space="0"/>
            </w:tcBorders>
            <w:vAlign w:val="center"/>
          </w:tcPr>
          <w:p w14:paraId="2780BA97">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符合性审查</w:t>
            </w:r>
          </w:p>
        </w:tc>
        <w:tc>
          <w:tcPr>
            <w:tcW w:w="1739" w:type="dxa"/>
            <w:tcBorders>
              <w:top w:val="single" w:color="auto" w:sz="4" w:space="0"/>
              <w:left w:val="single" w:color="auto" w:sz="4" w:space="0"/>
              <w:bottom w:val="single" w:color="auto" w:sz="4" w:space="0"/>
              <w:right w:val="single" w:color="auto" w:sz="4" w:space="0"/>
            </w:tcBorders>
            <w:vAlign w:val="center"/>
          </w:tcPr>
          <w:p w14:paraId="10830AD3">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投标单位名称</w:t>
            </w:r>
          </w:p>
        </w:tc>
        <w:tc>
          <w:tcPr>
            <w:tcW w:w="5742" w:type="dxa"/>
            <w:tcBorders>
              <w:top w:val="single" w:color="auto" w:sz="4" w:space="0"/>
              <w:left w:val="single" w:color="auto" w:sz="4" w:space="0"/>
              <w:bottom w:val="single" w:color="auto" w:sz="4" w:space="0"/>
              <w:right w:val="single" w:color="auto" w:sz="4" w:space="0"/>
            </w:tcBorders>
            <w:vAlign w:val="center"/>
          </w:tcPr>
          <w:p w14:paraId="0E42FD93">
            <w:pPr>
              <w:adjustRightInd w:val="0"/>
              <w:snapToGrid w:val="0"/>
              <w:spacing w:after="0" w:line="360" w:lineRule="auto"/>
              <w:jc w:val="left"/>
              <w:rPr>
                <w:rFonts w:hint="eastAsia" w:ascii="仿宋" w:hAnsi="仿宋" w:eastAsia="仿宋" w:cs="仿宋"/>
                <w:szCs w:val="21"/>
              </w:rPr>
            </w:pPr>
            <w:r>
              <w:rPr>
                <w:rFonts w:hint="eastAsia" w:ascii="仿宋" w:hAnsi="仿宋" w:eastAsia="仿宋" w:cs="仿宋"/>
                <w:color w:val="auto"/>
                <w:szCs w:val="21"/>
              </w:rPr>
              <w:t>与营业执照</w:t>
            </w:r>
            <w:r>
              <w:rPr>
                <w:rFonts w:hint="eastAsia" w:ascii="仿宋" w:hAnsi="仿宋" w:eastAsia="仿宋" w:cs="仿宋"/>
                <w:color w:val="auto"/>
                <w:kern w:val="0"/>
                <w:sz w:val="20"/>
                <w:szCs w:val="20"/>
                <w:lang w:val="en-US" w:eastAsia="zh-CN" w:bidi="ar"/>
              </w:rPr>
              <w:t>或事业单位法人证书</w:t>
            </w:r>
            <w:r>
              <w:rPr>
                <w:rFonts w:hint="eastAsia" w:ascii="仿宋" w:hAnsi="仿宋" w:eastAsia="仿宋" w:cs="仿宋"/>
                <w:color w:val="auto"/>
                <w:szCs w:val="21"/>
              </w:rPr>
              <w:t>一</w:t>
            </w:r>
            <w:r>
              <w:rPr>
                <w:rFonts w:hint="eastAsia" w:ascii="仿宋" w:hAnsi="仿宋" w:eastAsia="仿宋" w:cs="仿宋"/>
                <w:szCs w:val="21"/>
              </w:rPr>
              <w:t>致，满足为合格，不满足为不合格。</w:t>
            </w:r>
          </w:p>
        </w:tc>
      </w:tr>
      <w:tr w14:paraId="2C134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01" w:hRule="atLeast"/>
        </w:trPr>
        <w:tc>
          <w:tcPr>
            <w:tcW w:w="332" w:type="dxa"/>
            <w:vMerge w:val="continue"/>
            <w:tcBorders>
              <w:right w:val="single" w:color="auto" w:sz="4" w:space="0"/>
            </w:tcBorders>
          </w:tcPr>
          <w:p w14:paraId="06E9B603">
            <w:pPr>
              <w:adjustRightInd w:val="0"/>
              <w:snapToGrid w:val="0"/>
              <w:spacing w:after="0" w:line="360" w:lineRule="auto"/>
              <w:jc w:val="center"/>
              <w:rPr>
                <w:rFonts w:hint="eastAsia" w:ascii="仿宋" w:hAnsi="仿宋" w:eastAsia="仿宋" w:cs="仿宋"/>
                <w:szCs w:val="21"/>
              </w:rPr>
            </w:pPr>
          </w:p>
        </w:tc>
        <w:tc>
          <w:tcPr>
            <w:tcW w:w="795" w:type="dxa"/>
            <w:vMerge w:val="continue"/>
            <w:tcBorders>
              <w:right w:val="single" w:color="auto" w:sz="4" w:space="0"/>
            </w:tcBorders>
          </w:tcPr>
          <w:p w14:paraId="4EF841CB">
            <w:pPr>
              <w:adjustRightInd w:val="0"/>
              <w:snapToGrid w:val="0"/>
              <w:spacing w:after="0" w:line="360" w:lineRule="auto"/>
              <w:jc w:val="center"/>
              <w:rPr>
                <w:rFonts w:hint="eastAsia" w:ascii="仿宋" w:hAnsi="仿宋" w:eastAsia="仿宋" w:cs="仿宋"/>
                <w:szCs w:val="21"/>
              </w:rPr>
            </w:pPr>
          </w:p>
        </w:tc>
        <w:tc>
          <w:tcPr>
            <w:tcW w:w="1739" w:type="dxa"/>
            <w:tcBorders>
              <w:top w:val="single" w:color="auto" w:sz="4" w:space="0"/>
              <w:left w:val="single" w:color="auto" w:sz="4" w:space="0"/>
              <w:bottom w:val="single" w:color="auto" w:sz="4" w:space="0"/>
              <w:right w:val="single" w:color="auto" w:sz="4" w:space="0"/>
            </w:tcBorders>
            <w:vAlign w:val="center"/>
          </w:tcPr>
          <w:p w14:paraId="2500E522">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法定代表人身份证明、授权委托书</w:t>
            </w:r>
          </w:p>
        </w:tc>
        <w:tc>
          <w:tcPr>
            <w:tcW w:w="5742" w:type="dxa"/>
            <w:tcBorders>
              <w:top w:val="single" w:color="auto" w:sz="4" w:space="0"/>
              <w:left w:val="single" w:color="auto" w:sz="4" w:space="0"/>
              <w:bottom w:val="single" w:color="auto" w:sz="4" w:space="0"/>
              <w:right w:val="single" w:color="auto" w:sz="4" w:space="0"/>
            </w:tcBorders>
            <w:vAlign w:val="center"/>
          </w:tcPr>
          <w:p w14:paraId="2E6321C5">
            <w:pPr>
              <w:widowControl/>
              <w:adjustRightInd w:val="0"/>
              <w:snapToGrid w:val="0"/>
              <w:spacing w:after="0" w:line="360" w:lineRule="auto"/>
              <w:rPr>
                <w:rFonts w:hint="eastAsia" w:ascii="仿宋" w:hAnsi="仿宋" w:eastAsia="仿宋" w:cs="仿宋"/>
                <w:kern w:val="0"/>
                <w:szCs w:val="21"/>
              </w:rPr>
            </w:pPr>
            <w:r>
              <w:rPr>
                <w:rFonts w:hint="eastAsia" w:ascii="仿宋" w:hAnsi="仿宋" w:eastAsia="仿宋" w:cs="仿宋"/>
                <w:kern w:val="0"/>
                <w:szCs w:val="21"/>
              </w:rPr>
              <w:t>若</w:t>
            </w:r>
            <w:r>
              <w:rPr>
                <w:rFonts w:hint="eastAsia" w:ascii="仿宋" w:hAnsi="仿宋" w:eastAsia="仿宋" w:cs="仿宋"/>
                <w:szCs w:val="21"/>
              </w:rPr>
              <w:t>为法定代表人投标，则根据第六章提供法定代表人身份证明（需经投标人加盖单位公章且由法人代表签署）；若非法定代表人投标，则应根据第六章提供法定代表人身份证明、企业法定代表人针对本次投标的授权代理人授权委托书；联合体参与投标的则应根据第六章提供联合体授权委托书；内容须填写准确，满足为合格，不满足为不合格。</w:t>
            </w:r>
          </w:p>
        </w:tc>
      </w:tr>
      <w:tr w14:paraId="604A6E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3" w:hRule="atLeast"/>
        </w:trPr>
        <w:tc>
          <w:tcPr>
            <w:tcW w:w="332" w:type="dxa"/>
            <w:vMerge w:val="continue"/>
            <w:tcBorders>
              <w:right w:val="single" w:color="auto" w:sz="4" w:space="0"/>
            </w:tcBorders>
            <w:vAlign w:val="center"/>
          </w:tcPr>
          <w:p w14:paraId="79FB7F6C">
            <w:pPr>
              <w:adjustRightInd w:val="0"/>
              <w:snapToGrid w:val="0"/>
              <w:spacing w:after="0" w:line="360" w:lineRule="auto"/>
              <w:jc w:val="center"/>
              <w:rPr>
                <w:rFonts w:hint="eastAsia" w:ascii="仿宋" w:hAnsi="仿宋" w:eastAsia="仿宋" w:cs="仿宋"/>
                <w:szCs w:val="21"/>
              </w:rPr>
            </w:pPr>
          </w:p>
        </w:tc>
        <w:tc>
          <w:tcPr>
            <w:tcW w:w="795" w:type="dxa"/>
            <w:vMerge w:val="continue"/>
            <w:tcBorders>
              <w:right w:val="single" w:color="auto" w:sz="4" w:space="0"/>
            </w:tcBorders>
            <w:vAlign w:val="center"/>
          </w:tcPr>
          <w:p w14:paraId="40543FB4">
            <w:pPr>
              <w:adjustRightInd w:val="0"/>
              <w:snapToGrid w:val="0"/>
              <w:spacing w:after="0" w:line="360" w:lineRule="auto"/>
              <w:jc w:val="center"/>
              <w:rPr>
                <w:rFonts w:hint="eastAsia" w:ascii="仿宋" w:hAnsi="仿宋" w:eastAsia="仿宋" w:cs="仿宋"/>
                <w:szCs w:val="21"/>
              </w:rPr>
            </w:pPr>
          </w:p>
        </w:tc>
        <w:tc>
          <w:tcPr>
            <w:tcW w:w="1739" w:type="dxa"/>
            <w:tcBorders>
              <w:top w:val="single" w:color="auto" w:sz="4" w:space="0"/>
              <w:left w:val="single" w:color="auto" w:sz="4" w:space="0"/>
              <w:bottom w:val="single" w:color="auto" w:sz="4" w:space="0"/>
              <w:right w:val="single" w:color="auto" w:sz="4" w:space="0"/>
            </w:tcBorders>
            <w:vAlign w:val="center"/>
          </w:tcPr>
          <w:p w14:paraId="7B1CC4C3">
            <w:pPr>
              <w:adjustRightInd w:val="0"/>
              <w:snapToGrid w:val="0"/>
              <w:spacing w:after="0" w:line="360" w:lineRule="auto"/>
              <w:jc w:val="center"/>
              <w:rPr>
                <w:rFonts w:hint="eastAsia" w:ascii="仿宋" w:hAnsi="仿宋" w:eastAsia="仿宋" w:cs="仿宋"/>
                <w:szCs w:val="21"/>
              </w:rPr>
            </w:pPr>
            <w:r>
              <w:rPr>
                <w:rFonts w:hint="eastAsia" w:ascii="仿宋" w:hAnsi="仿宋" w:eastAsia="仿宋" w:cs="仿宋"/>
                <w:szCs w:val="21"/>
              </w:rPr>
              <w:t>联合体投标</w:t>
            </w:r>
          </w:p>
        </w:tc>
        <w:tc>
          <w:tcPr>
            <w:tcW w:w="5742" w:type="dxa"/>
            <w:tcBorders>
              <w:top w:val="single" w:color="auto" w:sz="4" w:space="0"/>
              <w:left w:val="single" w:color="auto" w:sz="4" w:space="0"/>
              <w:bottom w:val="single" w:color="auto" w:sz="4" w:space="0"/>
              <w:right w:val="single" w:color="auto" w:sz="4" w:space="0"/>
            </w:tcBorders>
            <w:vAlign w:val="center"/>
          </w:tcPr>
          <w:p w14:paraId="19B56E05">
            <w:pPr>
              <w:widowControl/>
              <w:adjustRightInd w:val="0"/>
              <w:snapToGrid w:val="0"/>
              <w:spacing w:after="0" w:line="360" w:lineRule="auto"/>
              <w:rPr>
                <w:rFonts w:hint="default" w:ascii="仿宋" w:hAnsi="仿宋" w:eastAsia="仿宋" w:cs="仿宋"/>
                <w:kern w:val="0"/>
                <w:szCs w:val="21"/>
                <w:lang w:val="en-US" w:eastAsia="zh-CN"/>
              </w:rPr>
            </w:pPr>
            <w:r>
              <w:rPr>
                <w:rFonts w:hint="eastAsia" w:ascii="仿宋" w:hAnsi="仿宋" w:eastAsia="仿宋" w:cs="仿宋"/>
                <w:kern w:val="0"/>
                <w:szCs w:val="21"/>
              </w:rPr>
              <w:t>本项目</w:t>
            </w:r>
            <w:r>
              <w:rPr>
                <w:rFonts w:hint="eastAsia" w:ascii="仿宋" w:hAnsi="仿宋" w:eastAsia="仿宋" w:cs="仿宋"/>
                <w:kern w:val="0"/>
                <w:szCs w:val="21"/>
                <w:lang w:val="en-US" w:eastAsia="zh-CN"/>
              </w:rPr>
              <w:t>不接受</w:t>
            </w:r>
            <w:r>
              <w:rPr>
                <w:rFonts w:hint="eastAsia" w:ascii="仿宋" w:hAnsi="仿宋" w:eastAsia="仿宋" w:cs="仿宋"/>
                <w:kern w:val="0"/>
                <w:szCs w:val="21"/>
              </w:rPr>
              <w:t>联合体投标</w:t>
            </w:r>
            <w:r>
              <w:rPr>
                <w:rFonts w:hint="eastAsia" w:ascii="仿宋" w:hAnsi="仿宋" w:eastAsia="仿宋" w:cs="仿宋"/>
                <w:kern w:val="0"/>
                <w:szCs w:val="21"/>
                <w:lang w:eastAsia="zh-CN"/>
              </w:rPr>
              <w:t>，</w:t>
            </w:r>
            <w:r>
              <w:rPr>
                <w:rFonts w:hint="eastAsia" w:ascii="仿宋" w:hAnsi="仿宋" w:eastAsia="仿宋" w:cs="仿宋"/>
                <w:kern w:val="0"/>
                <w:szCs w:val="21"/>
                <w:lang w:val="en-US" w:eastAsia="zh-CN"/>
              </w:rPr>
              <w:t>提供非联合体声明函，未提供视为非联合体投标</w:t>
            </w:r>
          </w:p>
        </w:tc>
      </w:tr>
      <w:tr w14:paraId="41E860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90" w:hRule="atLeast"/>
        </w:trPr>
        <w:tc>
          <w:tcPr>
            <w:tcW w:w="332" w:type="dxa"/>
            <w:vMerge w:val="continue"/>
            <w:tcBorders>
              <w:right w:val="single" w:color="auto" w:sz="4" w:space="0"/>
            </w:tcBorders>
            <w:vAlign w:val="center"/>
          </w:tcPr>
          <w:p w14:paraId="2290AA17">
            <w:pPr>
              <w:adjustRightInd w:val="0"/>
              <w:snapToGrid w:val="0"/>
              <w:spacing w:after="0" w:line="360" w:lineRule="auto"/>
              <w:jc w:val="center"/>
              <w:rPr>
                <w:rFonts w:hint="eastAsia" w:ascii="仿宋" w:hAnsi="仿宋" w:eastAsia="仿宋" w:cs="仿宋"/>
                <w:szCs w:val="21"/>
              </w:rPr>
            </w:pPr>
          </w:p>
        </w:tc>
        <w:tc>
          <w:tcPr>
            <w:tcW w:w="795" w:type="dxa"/>
            <w:vMerge w:val="continue"/>
            <w:tcBorders>
              <w:right w:val="single" w:color="auto" w:sz="4" w:space="0"/>
            </w:tcBorders>
            <w:vAlign w:val="center"/>
          </w:tcPr>
          <w:p w14:paraId="22DA0774">
            <w:pPr>
              <w:adjustRightInd w:val="0"/>
              <w:snapToGrid w:val="0"/>
              <w:spacing w:after="0" w:line="360" w:lineRule="auto"/>
              <w:jc w:val="center"/>
              <w:rPr>
                <w:rFonts w:hint="eastAsia" w:ascii="仿宋" w:hAnsi="仿宋" w:eastAsia="仿宋" w:cs="仿宋"/>
                <w:szCs w:val="21"/>
              </w:rPr>
            </w:pPr>
          </w:p>
        </w:tc>
        <w:tc>
          <w:tcPr>
            <w:tcW w:w="1739" w:type="dxa"/>
            <w:tcBorders>
              <w:top w:val="single" w:color="auto" w:sz="4" w:space="0"/>
              <w:left w:val="single" w:color="auto" w:sz="4" w:space="0"/>
              <w:right w:val="single" w:color="auto" w:sz="4" w:space="0"/>
            </w:tcBorders>
            <w:vAlign w:val="center"/>
          </w:tcPr>
          <w:p w14:paraId="215CB17A">
            <w:pPr>
              <w:widowControl/>
              <w:adjustRightInd w:val="0"/>
              <w:snapToGrid w:val="0"/>
              <w:spacing w:after="0" w:line="360" w:lineRule="auto"/>
              <w:jc w:val="center"/>
              <w:rPr>
                <w:rFonts w:hint="eastAsia" w:ascii="仿宋" w:hAnsi="仿宋" w:eastAsia="仿宋" w:cs="仿宋"/>
                <w:kern w:val="0"/>
                <w:szCs w:val="21"/>
              </w:rPr>
            </w:pPr>
            <w:r>
              <w:rPr>
                <w:rFonts w:hint="eastAsia" w:ascii="仿宋" w:hAnsi="仿宋" w:eastAsia="仿宋" w:cs="仿宋"/>
                <w:kern w:val="0"/>
                <w:szCs w:val="21"/>
              </w:rPr>
              <w:t>投标报价</w:t>
            </w:r>
          </w:p>
        </w:tc>
        <w:tc>
          <w:tcPr>
            <w:tcW w:w="5742" w:type="dxa"/>
            <w:tcBorders>
              <w:top w:val="single" w:color="auto" w:sz="4" w:space="0"/>
              <w:left w:val="single" w:color="auto" w:sz="4" w:space="0"/>
              <w:bottom w:val="single" w:color="auto" w:sz="4" w:space="0"/>
              <w:right w:val="single" w:color="auto" w:sz="4" w:space="0"/>
            </w:tcBorders>
            <w:vAlign w:val="center"/>
          </w:tcPr>
          <w:p w14:paraId="7C1161F8">
            <w:pPr>
              <w:widowControl/>
              <w:adjustRightInd w:val="0"/>
              <w:snapToGrid w:val="0"/>
              <w:spacing w:after="0" w:line="360" w:lineRule="auto"/>
              <w:rPr>
                <w:rFonts w:hint="eastAsia" w:ascii="仿宋" w:hAnsi="仿宋" w:eastAsia="仿宋" w:cs="仿宋"/>
                <w:kern w:val="0"/>
                <w:szCs w:val="21"/>
              </w:rPr>
            </w:pPr>
            <w:r>
              <w:rPr>
                <w:rFonts w:hint="eastAsia" w:ascii="仿宋" w:hAnsi="仿宋" w:eastAsia="仿宋" w:cs="仿宋"/>
                <w:kern w:val="0"/>
                <w:szCs w:val="21"/>
              </w:rPr>
              <w:t>是否满足招标文件第六章“开标一览表”不超过最高限价的要求且只有一个有效报价，满足为合格，不满足为不合格。</w:t>
            </w:r>
          </w:p>
        </w:tc>
      </w:tr>
      <w:tr w14:paraId="4F22C6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39" w:hRule="atLeast"/>
        </w:trPr>
        <w:tc>
          <w:tcPr>
            <w:tcW w:w="332" w:type="dxa"/>
            <w:vMerge w:val="continue"/>
            <w:tcBorders>
              <w:right w:val="single" w:color="auto" w:sz="4" w:space="0"/>
            </w:tcBorders>
            <w:vAlign w:val="center"/>
          </w:tcPr>
          <w:p w14:paraId="0AC44C76">
            <w:pPr>
              <w:adjustRightInd w:val="0"/>
              <w:snapToGrid w:val="0"/>
              <w:spacing w:after="0" w:line="360" w:lineRule="auto"/>
              <w:jc w:val="center"/>
              <w:rPr>
                <w:rFonts w:hint="eastAsia" w:ascii="仿宋" w:hAnsi="仿宋" w:eastAsia="仿宋" w:cs="仿宋"/>
                <w:szCs w:val="21"/>
              </w:rPr>
            </w:pPr>
          </w:p>
        </w:tc>
        <w:tc>
          <w:tcPr>
            <w:tcW w:w="795" w:type="dxa"/>
            <w:vMerge w:val="continue"/>
            <w:tcBorders>
              <w:right w:val="single" w:color="auto" w:sz="4" w:space="0"/>
            </w:tcBorders>
            <w:vAlign w:val="center"/>
          </w:tcPr>
          <w:p w14:paraId="27B60B75">
            <w:pPr>
              <w:adjustRightInd w:val="0"/>
              <w:snapToGrid w:val="0"/>
              <w:spacing w:after="0" w:line="360" w:lineRule="auto"/>
              <w:jc w:val="center"/>
              <w:rPr>
                <w:rFonts w:hint="eastAsia" w:ascii="仿宋" w:hAnsi="仿宋" w:eastAsia="仿宋" w:cs="仿宋"/>
                <w:szCs w:val="21"/>
              </w:rPr>
            </w:pPr>
          </w:p>
        </w:tc>
        <w:tc>
          <w:tcPr>
            <w:tcW w:w="1739" w:type="dxa"/>
            <w:tcBorders>
              <w:top w:val="single" w:color="auto" w:sz="4" w:space="0"/>
              <w:left w:val="single" w:color="auto" w:sz="4" w:space="0"/>
              <w:bottom w:val="single" w:color="auto" w:sz="4" w:space="0"/>
              <w:right w:val="single" w:color="auto" w:sz="4" w:space="0"/>
            </w:tcBorders>
            <w:vAlign w:val="center"/>
          </w:tcPr>
          <w:p w14:paraId="0DE25103">
            <w:pPr>
              <w:widowControl/>
              <w:adjustRightInd w:val="0"/>
              <w:snapToGrid w:val="0"/>
              <w:spacing w:after="0" w:line="360" w:lineRule="auto"/>
              <w:jc w:val="center"/>
              <w:rPr>
                <w:rFonts w:hint="eastAsia" w:ascii="仿宋" w:hAnsi="仿宋" w:eastAsia="仿宋" w:cs="仿宋"/>
                <w:kern w:val="0"/>
                <w:szCs w:val="21"/>
              </w:rPr>
            </w:pPr>
            <w:r>
              <w:rPr>
                <w:rFonts w:hint="eastAsia" w:ascii="仿宋" w:hAnsi="仿宋" w:eastAsia="仿宋" w:cs="仿宋"/>
                <w:kern w:val="0"/>
                <w:szCs w:val="21"/>
              </w:rPr>
              <w:t>投标函</w:t>
            </w:r>
          </w:p>
        </w:tc>
        <w:tc>
          <w:tcPr>
            <w:tcW w:w="5742" w:type="dxa"/>
            <w:tcBorders>
              <w:top w:val="single" w:color="auto" w:sz="4" w:space="0"/>
              <w:left w:val="single" w:color="auto" w:sz="4" w:space="0"/>
              <w:bottom w:val="single" w:color="auto" w:sz="4" w:space="0"/>
              <w:right w:val="single" w:color="auto" w:sz="4" w:space="0"/>
            </w:tcBorders>
          </w:tcPr>
          <w:p w14:paraId="3E4A9AD6">
            <w:pPr>
              <w:widowControl/>
              <w:adjustRightInd w:val="0"/>
              <w:snapToGrid w:val="0"/>
              <w:spacing w:after="0" w:line="360" w:lineRule="auto"/>
              <w:rPr>
                <w:rFonts w:hint="eastAsia" w:ascii="仿宋" w:hAnsi="仿宋" w:eastAsia="仿宋" w:cs="仿宋"/>
                <w:kern w:val="0"/>
                <w:szCs w:val="21"/>
              </w:rPr>
            </w:pPr>
            <w:r>
              <w:rPr>
                <w:rFonts w:hint="eastAsia" w:ascii="仿宋" w:hAnsi="仿宋" w:eastAsia="仿宋" w:cs="仿宋"/>
                <w:kern w:val="0"/>
                <w:szCs w:val="21"/>
              </w:rPr>
              <w:t>投标人需满足招标文件对第六章“投标函”的要求，且经投标人加盖单位公章和由法定代表人或授权委托人代表签字。满足为合格，不满足为不合格。</w:t>
            </w:r>
          </w:p>
        </w:tc>
      </w:tr>
      <w:tr w14:paraId="32331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39" w:hRule="atLeast"/>
        </w:trPr>
        <w:tc>
          <w:tcPr>
            <w:tcW w:w="332" w:type="dxa"/>
            <w:vMerge w:val="continue"/>
            <w:tcBorders>
              <w:right w:val="single" w:color="auto" w:sz="4" w:space="0"/>
            </w:tcBorders>
            <w:vAlign w:val="center"/>
          </w:tcPr>
          <w:p w14:paraId="0431961F">
            <w:pPr>
              <w:adjustRightInd w:val="0"/>
              <w:snapToGrid w:val="0"/>
              <w:spacing w:after="0" w:line="360" w:lineRule="auto"/>
              <w:jc w:val="center"/>
              <w:rPr>
                <w:rFonts w:hint="eastAsia" w:ascii="仿宋" w:hAnsi="仿宋" w:eastAsia="仿宋" w:cs="仿宋"/>
                <w:szCs w:val="21"/>
              </w:rPr>
            </w:pPr>
          </w:p>
        </w:tc>
        <w:tc>
          <w:tcPr>
            <w:tcW w:w="795" w:type="dxa"/>
            <w:vMerge w:val="continue"/>
            <w:tcBorders>
              <w:right w:val="single" w:color="auto" w:sz="4" w:space="0"/>
            </w:tcBorders>
            <w:vAlign w:val="center"/>
          </w:tcPr>
          <w:p w14:paraId="7D58C919">
            <w:pPr>
              <w:adjustRightInd w:val="0"/>
              <w:snapToGrid w:val="0"/>
              <w:spacing w:after="0" w:line="360" w:lineRule="auto"/>
              <w:jc w:val="center"/>
              <w:rPr>
                <w:rFonts w:hint="eastAsia" w:ascii="仿宋" w:hAnsi="仿宋" w:eastAsia="仿宋" w:cs="仿宋"/>
                <w:szCs w:val="21"/>
              </w:rPr>
            </w:pPr>
          </w:p>
        </w:tc>
        <w:tc>
          <w:tcPr>
            <w:tcW w:w="1739" w:type="dxa"/>
            <w:tcBorders>
              <w:top w:val="single" w:color="auto" w:sz="4" w:space="0"/>
              <w:left w:val="single" w:color="auto" w:sz="4" w:space="0"/>
              <w:bottom w:val="single" w:color="auto" w:sz="4" w:space="0"/>
              <w:right w:val="single" w:color="auto" w:sz="4" w:space="0"/>
            </w:tcBorders>
            <w:vAlign w:val="center"/>
          </w:tcPr>
          <w:p w14:paraId="5227B9DE">
            <w:pPr>
              <w:widowControl/>
              <w:adjustRightInd w:val="0"/>
              <w:snapToGrid w:val="0"/>
              <w:spacing w:after="0" w:line="360" w:lineRule="auto"/>
              <w:jc w:val="center"/>
              <w:rPr>
                <w:rFonts w:hint="eastAsia" w:ascii="仿宋" w:hAnsi="仿宋" w:eastAsia="仿宋" w:cs="仿宋"/>
                <w:kern w:val="0"/>
                <w:szCs w:val="21"/>
              </w:rPr>
            </w:pPr>
            <w:r>
              <w:rPr>
                <w:rFonts w:hint="eastAsia" w:ascii="仿宋" w:hAnsi="仿宋" w:eastAsia="仿宋" w:cs="仿宋"/>
                <w:kern w:val="0"/>
                <w:szCs w:val="21"/>
              </w:rPr>
              <w:t>其他投标要求</w:t>
            </w:r>
          </w:p>
        </w:tc>
        <w:tc>
          <w:tcPr>
            <w:tcW w:w="5742" w:type="dxa"/>
            <w:tcBorders>
              <w:top w:val="single" w:color="auto" w:sz="4" w:space="0"/>
              <w:left w:val="single" w:color="auto" w:sz="4" w:space="0"/>
              <w:bottom w:val="single" w:color="auto" w:sz="4" w:space="0"/>
              <w:right w:val="single" w:color="auto" w:sz="4" w:space="0"/>
            </w:tcBorders>
          </w:tcPr>
          <w:p w14:paraId="5912682B">
            <w:pPr>
              <w:widowControl/>
              <w:adjustRightInd w:val="0"/>
              <w:snapToGrid w:val="0"/>
              <w:spacing w:after="0" w:line="360" w:lineRule="auto"/>
              <w:rPr>
                <w:rFonts w:hint="eastAsia" w:ascii="仿宋" w:hAnsi="仿宋" w:eastAsia="仿宋" w:cs="仿宋"/>
              </w:rPr>
            </w:pPr>
            <w:r>
              <w:rPr>
                <w:rFonts w:hint="eastAsia" w:ascii="仿宋" w:hAnsi="仿宋" w:eastAsia="仿宋" w:cs="仿宋"/>
                <w:kern w:val="0"/>
                <w:szCs w:val="21"/>
              </w:rPr>
              <w:t>单位负责人为同一人或者存在控股、管理关系的不同单位，不得同时参加本项目的投标。为采购项目提供整体设计、规范编制或者项目管理、监理、检测等服务的投标单位及其附属机构，不得再参加本项目或本项目相关标段投标。提供上述内容承诺函，提供者为合格，不提供者为不合格。</w:t>
            </w:r>
          </w:p>
        </w:tc>
      </w:tr>
      <w:tr w14:paraId="70C2EA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9" w:hRule="atLeast"/>
        </w:trPr>
        <w:tc>
          <w:tcPr>
            <w:tcW w:w="332" w:type="dxa"/>
            <w:vMerge w:val="continue"/>
            <w:tcBorders>
              <w:right w:val="single" w:color="auto" w:sz="4" w:space="0"/>
            </w:tcBorders>
            <w:vAlign w:val="center"/>
          </w:tcPr>
          <w:p w14:paraId="6C088CD7">
            <w:pPr>
              <w:adjustRightInd w:val="0"/>
              <w:snapToGrid w:val="0"/>
              <w:spacing w:after="0" w:line="360" w:lineRule="auto"/>
              <w:jc w:val="center"/>
              <w:rPr>
                <w:rFonts w:hint="eastAsia" w:ascii="仿宋" w:hAnsi="仿宋" w:eastAsia="仿宋" w:cs="仿宋"/>
                <w:szCs w:val="21"/>
              </w:rPr>
            </w:pPr>
          </w:p>
        </w:tc>
        <w:tc>
          <w:tcPr>
            <w:tcW w:w="795" w:type="dxa"/>
            <w:vMerge w:val="continue"/>
            <w:tcBorders>
              <w:right w:val="single" w:color="auto" w:sz="4" w:space="0"/>
            </w:tcBorders>
            <w:vAlign w:val="center"/>
          </w:tcPr>
          <w:p w14:paraId="1F0FFD02">
            <w:pPr>
              <w:adjustRightInd w:val="0"/>
              <w:snapToGrid w:val="0"/>
              <w:spacing w:after="0" w:line="360" w:lineRule="auto"/>
              <w:jc w:val="center"/>
              <w:rPr>
                <w:rFonts w:hint="eastAsia" w:ascii="仿宋" w:hAnsi="仿宋" w:eastAsia="仿宋" w:cs="仿宋"/>
                <w:szCs w:val="21"/>
              </w:rPr>
            </w:pPr>
          </w:p>
        </w:tc>
        <w:tc>
          <w:tcPr>
            <w:tcW w:w="1739" w:type="dxa"/>
            <w:tcBorders>
              <w:top w:val="single" w:color="auto" w:sz="4" w:space="0"/>
              <w:left w:val="single" w:color="auto" w:sz="4" w:space="0"/>
              <w:bottom w:val="single" w:color="auto" w:sz="4" w:space="0"/>
              <w:right w:val="single" w:color="auto" w:sz="4" w:space="0"/>
            </w:tcBorders>
            <w:vAlign w:val="center"/>
          </w:tcPr>
          <w:p w14:paraId="4369F497">
            <w:pPr>
              <w:widowControl/>
              <w:adjustRightInd w:val="0"/>
              <w:snapToGrid w:val="0"/>
              <w:spacing w:after="0" w:line="360" w:lineRule="auto"/>
              <w:jc w:val="center"/>
              <w:rPr>
                <w:rFonts w:hint="eastAsia" w:ascii="仿宋" w:hAnsi="仿宋" w:eastAsia="仿宋" w:cs="仿宋"/>
                <w:kern w:val="0"/>
                <w:szCs w:val="21"/>
              </w:rPr>
            </w:pPr>
            <w:r>
              <w:rPr>
                <w:rFonts w:hint="eastAsia" w:ascii="仿宋" w:hAnsi="仿宋" w:eastAsia="仿宋" w:cs="仿宋"/>
                <w:kern w:val="0"/>
                <w:szCs w:val="21"/>
              </w:rPr>
              <w:t>投标文件的盖章或者签字要求</w:t>
            </w:r>
          </w:p>
        </w:tc>
        <w:tc>
          <w:tcPr>
            <w:tcW w:w="5742" w:type="dxa"/>
            <w:tcBorders>
              <w:top w:val="single" w:color="auto" w:sz="4" w:space="0"/>
              <w:left w:val="single" w:color="auto" w:sz="4" w:space="0"/>
              <w:bottom w:val="single" w:color="auto" w:sz="4" w:space="0"/>
              <w:right w:val="single" w:color="auto" w:sz="4" w:space="0"/>
            </w:tcBorders>
          </w:tcPr>
          <w:p w14:paraId="52D92DE7">
            <w:pPr>
              <w:widowControl/>
              <w:adjustRightInd w:val="0"/>
              <w:snapToGrid w:val="0"/>
              <w:spacing w:after="0" w:line="360" w:lineRule="auto"/>
              <w:rPr>
                <w:rFonts w:hint="eastAsia" w:ascii="仿宋" w:hAnsi="仿宋" w:eastAsia="仿宋" w:cs="仿宋"/>
                <w:kern w:val="0"/>
                <w:szCs w:val="21"/>
              </w:rPr>
            </w:pPr>
            <w:r>
              <w:rPr>
                <w:rFonts w:hint="eastAsia" w:ascii="仿宋" w:hAnsi="仿宋" w:eastAsia="仿宋" w:cs="仿宋"/>
                <w:kern w:val="0"/>
                <w:szCs w:val="21"/>
              </w:rPr>
              <w:t>根据第二章“投标单位须知前附表”中第15项要求签字或盖章，满足为合格，不满足为不合格。</w:t>
            </w:r>
          </w:p>
        </w:tc>
      </w:tr>
      <w:tr w14:paraId="119DD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29" w:hRule="atLeast"/>
        </w:trPr>
        <w:tc>
          <w:tcPr>
            <w:tcW w:w="332" w:type="dxa"/>
            <w:vMerge w:val="continue"/>
            <w:tcBorders>
              <w:right w:val="single" w:color="auto" w:sz="4" w:space="0"/>
            </w:tcBorders>
            <w:vAlign w:val="center"/>
          </w:tcPr>
          <w:p w14:paraId="009B0871">
            <w:pPr>
              <w:adjustRightInd w:val="0"/>
              <w:snapToGrid w:val="0"/>
              <w:spacing w:after="0" w:line="360" w:lineRule="auto"/>
              <w:jc w:val="center"/>
              <w:rPr>
                <w:rFonts w:hint="eastAsia" w:ascii="仿宋" w:hAnsi="仿宋" w:eastAsia="仿宋" w:cs="仿宋"/>
                <w:szCs w:val="21"/>
              </w:rPr>
            </w:pPr>
          </w:p>
        </w:tc>
        <w:tc>
          <w:tcPr>
            <w:tcW w:w="795" w:type="dxa"/>
            <w:vMerge w:val="continue"/>
            <w:tcBorders>
              <w:right w:val="single" w:color="auto" w:sz="4" w:space="0"/>
            </w:tcBorders>
            <w:vAlign w:val="center"/>
          </w:tcPr>
          <w:p w14:paraId="569F7E3D">
            <w:pPr>
              <w:adjustRightInd w:val="0"/>
              <w:snapToGrid w:val="0"/>
              <w:spacing w:after="0" w:line="360" w:lineRule="auto"/>
              <w:jc w:val="center"/>
              <w:rPr>
                <w:rFonts w:hint="eastAsia" w:ascii="仿宋" w:hAnsi="仿宋" w:eastAsia="仿宋" w:cs="仿宋"/>
                <w:szCs w:val="21"/>
              </w:rPr>
            </w:pPr>
          </w:p>
        </w:tc>
        <w:tc>
          <w:tcPr>
            <w:tcW w:w="1739" w:type="dxa"/>
            <w:tcBorders>
              <w:top w:val="single" w:color="auto" w:sz="4" w:space="0"/>
              <w:left w:val="single" w:color="auto" w:sz="4" w:space="0"/>
              <w:bottom w:val="single" w:color="auto" w:sz="4" w:space="0"/>
              <w:right w:val="single" w:color="auto" w:sz="4" w:space="0"/>
            </w:tcBorders>
            <w:vAlign w:val="center"/>
          </w:tcPr>
          <w:p w14:paraId="3FBAC3ED">
            <w:pPr>
              <w:widowControl/>
              <w:adjustRightInd w:val="0"/>
              <w:snapToGrid w:val="0"/>
              <w:spacing w:after="0" w:line="360" w:lineRule="auto"/>
              <w:jc w:val="center"/>
              <w:rPr>
                <w:rFonts w:hint="eastAsia" w:ascii="仿宋" w:hAnsi="仿宋" w:eastAsia="仿宋" w:cs="仿宋"/>
                <w:kern w:val="0"/>
                <w:szCs w:val="21"/>
              </w:rPr>
            </w:pPr>
            <w:r>
              <w:rPr>
                <w:rFonts w:hint="eastAsia" w:ascii="仿宋" w:hAnsi="仿宋" w:eastAsia="仿宋" w:cs="仿宋"/>
                <w:kern w:val="0"/>
                <w:szCs w:val="21"/>
              </w:rPr>
              <w:t>投标保证金</w:t>
            </w:r>
          </w:p>
        </w:tc>
        <w:tc>
          <w:tcPr>
            <w:tcW w:w="5742" w:type="dxa"/>
            <w:tcBorders>
              <w:top w:val="single" w:color="auto" w:sz="4" w:space="0"/>
              <w:left w:val="single" w:color="auto" w:sz="4" w:space="0"/>
              <w:bottom w:val="single" w:color="auto" w:sz="4" w:space="0"/>
              <w:right w:val="single" w:color="auto" w:sz="4" w:space="0"/>
            </w:tcBorders>
          </w:tcPr>
          <w:p w14:paraId="7AFB3143">
            <w:pPr>
              <w:widowControl/>
              <w:adjustRightInd w:val="0"/>
              <w:snapToGrid w:val="0"/>
              <w:spacing w:after="0" w:line="360" w:lineRule="auto"/>
              <w:rPr>
                <w:rFonts w:hint="eastAsia" w:ascii="仿宋" w:hAnsi="仿宋" w:eastAsia="仿宋" w:cs="仿宋"/>
                <w:kern w:val="0"/>
                <w:szCs w:val="21"/>
              </w:rPr>
            </w:pPr>
            <w:r>
              <w:rPr>
                <w:rFonts w:hint="eastAsia" w:ascii="仿宋" w:hAnsi="仿宋" w:eastAsia="仿宋" w:cs="仿宋"/>
                <w:kern w:val="0"/>
                <w:szCs w:val="21"/>
              </w:rPr>
              <w:t>需按照招标文件要求在投标截止时间前足额提交投标保证金，审查投标文件中所附缴纳投标保证金凭证扫描件（需清晰），提供者为合格，不提供者为不合格。</w:t>
            </w:r>
          </w:p>
        </w:tc>
      </w:tr>
    </w:tbl>
    <w:p w14:paraId="6EBC08BE">
      <w:pPr>
        <w:spacing w:after="0" w:line="360" w:lineRule="auto"/>
        <w:rPr>
          <w:rFonts w:hint="eastAsia" w:ascii="仿宋" w:hAnsi="仿宋" w:eastAsia="仿宋" w:cs="仿宋"/>
          <w:szCs w:val="21"/>
        </w:rPr>
      </w:pPr>
      <w:r>
        <w:rPr>
          <w:rFonts w:hint="eastAsia" w:ascii="仿宋" w:hAnsi="仿宋" w:eastAsia="仿宋" w:cs="仿宋"/>
          <w:b/>
          <w:bCs/>
          <w:szCs w:val="21"/>
        </w:rPr>
        <w:t>注：符合性审查评审标准表中全部满足为合格，任意一条不满足为不合格。符合性审查评审不通过的单位不进入投标文件的详细评审，做否决投标处理！</w:t>
      </w:r>
      <w:bookmarkEnd w:id="633"/>
    </w:p>
    <w:p w14:paraId="3EA84A39">
      <w:pPr>
        <w:pStyle w:val="22"/>
        <w:numPr>
          <w:ilvl w:val="1"/>
          <w:numId w:val="0"/>
        </w:numPr>
        <w:tabs>
          <w:tab w:val="left" w:pos="360"/>
        </w:tabs>
        <w:spacing w:before="0" w:after="0"/>
        <w:rPr>
          <w:rFonts w:hint="eastAsia" w:ascii="仿宋" w:hAnsi="仿宋" w:eastAsia="仿宋" w:cs="仿宋"/>
          <w:b/>
          <w:bCs w:val="0"/>
        </w:rPr>
      </w:pPr>
      <w:r>
        <w:rPr>
          <w:rFonts w:hint="eastAsia" w:ascii="仿宋" w:hAnsi="仿宋" w:eastAsia="仿宋" w:cs="仿宋"/>
          <w:b/>
          <w:bCs w:val="0"/>
        </w:rPr>
        <w:br w:type="page"/>
      </w:r>
      <w:bookmarkStart w:id="636" w:name="_Toc3649"/>
      <w:r>
        <w:rPr>
          <w:rFonts w:hint="eastAsia" w:ascii="仿宋" w:hAnsi="仿宋" w:eastAsia="仿宋" w:cs="仿宋"/>
          <w:b/>
          <w:bCs w:val="0"/>
        </w:rPr>
        <w:t>四、详细评审标准</w:t>
      </w:r>
      <w:bookmarkEnd w:id="636"/>
    </w:p>
    <w:tbl>
      <w:tblPr>
        <w:tblStyle w:val="16"/>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
        <w:gridCol w:w="1203"/>
        <w:gridCol w:w="736"/>
        <w:gridCol w:w="6903"/>
        <w:gridCol w:w="389"/>
      </w:tblGrid>
      <w:tr w14:paraId="4F087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19" w:type="dxa"/>
            <w:vAlign w:val="center"/>
          </w:tcPr>
          <w:p w14:paraId="270FC74C">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序号</w:t>
            </w:r>
          </w:p>
        </w:tc>
        <w:tc>
          <w:tcPr>
            <w:tcW w:w="1203" w:type="dxa"/>
            <w:vAlign w:val="center"/>
          </w:tcPr>
          <w:p w14:paraId="519DA551">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评标</w:t>
            </w:r>
          </w:p>
          <w:p w14:paraId="1EB658F6">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项目</w:t>
            </w:r>
          </w:p>
        </w:tc>
        <w:tc>
          <w:tcPr>
            <w:tcW w:w="736" w:type="dxa"/>
            <w:vAlign w:val="center"/>
          </w:tcPr>
          <w:p w14:paraId="30485461">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权重</w:t>
            </w:r>
          </w:p>
        </w:tc>
        <w:tc>
          <w:tcPr>
            <w:tcW w:w="6903" w:type="dxa"/>
            <w:vAlign w:val="center"/>
          </w:tcPr>
          <w:p w14:paraId="252B4311">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评 标 办 法</w:t>
            </w:r>
          </w:p>
        </w:tc>
        <w:tc>
          <w:tcPr>
            <w:tcW w:w="389" w:type="dxa"/>
          </w:tcPr>
          <w:p w14:paraId="1AE0342D">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备注</w:t>
            </w:r>
          </w:p>
        </w:tc>
      </w:tr>
      <w:tr w14:paraId="44ED0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9" w:type="dxa"/>
            <w:vAlign w:val="center"/>
          </w:tcPr>
          <w:p w14:paraId="6D22C1F1">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一</w:t>
            </w:r>
          </w:p>
        </w:tc>
        <w:tc>
          <w:tcPr>
            <w:tcW w:w="8842" w:type="dxa"/>
            <w:gridSpan w:val="3"/>
            <w:vAlign w:val="center"/>
          </w:tcPr>
          <w:p w14:paraId="78A9A07D">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报价部分10分</w:t>
            </w:r>
          </w:p>
        </w:tc>
        <w:tc>
          <w:tcPr>
            <w:tcW w:w="389" w:type="dxa"/>
          </w:tcPr>
          <w:p w14:paraId="75934469">
            <w:pPr>
              <w:adjustRightInd w:val="0"/>
              <w:snapToGrid w:val="0"/>
              <w:spacing w:after="0" w:line="360" w:lineRule="auto"/>
              <w:jc w:val="left"/>
              <w:rPr>
                <w:rFonts w:hint="eastAsia" w:ascii="仿宋" w:hAnsi="仿宋" w:eastAsia="仿宋" w:cs="仿宋"/>
                <w:szCs w:val="21"/>
                <w:lang w:val="en-US" w:eastAsia="zh-CN"/>
              </w:rPr>
            </w:pPr>
          </w:p>
        </w:tc>
      </w:tr>
      <w:tr w14:paraId="33EE3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9" w:type="dxa"/>
            <w:vAlign w:val="center"/>
          </w:tcPr>
          <w:p w14:paraId="5AFBCCAC">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w:t>
            </w:r>
          </w:p>
        </w:tc>
        <w:tc>
          <w:tcPr>
            <w:tcW w:w="1203" w:type="dxa"/>
            <w:vAlign w:val="center"/>
          </w:tcPr>
          <w:p w14:paraId="0F22D429">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报 价</w:t>
            </w:r>
          </w:p>
        </w:tc>
        <w:tc>
          <w:tcPr>
            <w:tcW w:w="736" w:type="dxa"/>
            <w:vAlign w:val="center"/>
          </w:tcPr>
          <w:p w14:paraId="0BBF2347">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10分</w:t>
            </w:r>
          </w:p>
        </w:tc>
        <w:tc>
          <w:tcPr>
            <w:tcW w:w="6903" w:type="dxa"/>
            <w:vAlign w:val="center"/>
          </w:tcPr>
          <w:p w14:paraId="2C17C10C">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价格分采用低价优先法计算，即满足招标文件要求且投标价格最低的投标报价（含税投标总价）为评标基准价，其价格分为满分。其他投标人的价格分统一按照下列公式计算：投标报价得分=(评标基准价／投标报价)*10</w:t>
            </w:r>
          </w:p>
          <w:p w14:paraId="627A9C8B">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注:（1）根据《关于进一步加大政府采购支持中小企业力度的通知》（财库〔2022〕19号）的规定，对小型、微型企业产品或服务的价格给予10%的价格扣除，用扣除后的价格参与评审。</w:t>
            </w:r>
          </w:p>
          <w:p w14:paraId="1FDF8365">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（2）提供由省级以上监狱管理局、戒毒管理局（含新疆生产建设兵团）出具的属于监狱企业证明文件的，视同为小型和微型企业。</w:t>
            </w:r>
          </w:p>
          <w:p w14:paraId="09012E5E">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（3）符合享受政府采购支持政策的残疾人福利性单位条件且提供《残疾人福利性单位声明函》的，视同为小型和微型企业。</w:t>
            </w:r>
          </w:p>
          <w:p w14:paraId="003E095B">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（4）价格分数保留两位小数。</w:t>
            </w:r>
          </w:p>
        </w:tc>
        <w:tc>
          <w:tcPr>
            <w:tcW w:w="389" w:type="dxa"/>
          </w:tcPr>
          <w:p w14:paraId="20285133">
            <w:pPr>
              <w:adjustRightInd w:val="0"/>
              <w:snapToGrid w:val="0"/>
              <w:spacing w:after="0" w:line="360" w:lineRule="auto"/>
              <w:jc w:val="left"/>
              <w:rPr>
                <w:rFonts w:hint="eastAsia" w:ascii="仿宋" w:hAnsi="仿宋" w:eastAsia="仿宋" w:cs="仿宋"/>
                <w:szCs w:val="21"/>
                <w:lang w:val="en-US" w:eastAsia="zh-CN"/>
              </w:rPr>
            </w:pPr>
          </w:p>
        </w:tc>
      </w:tr>
      <w:tr w14:paraId="72D1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19" w:type="dxa"/>
            <w:vAlign w:val="center"/>
          </w:tcPr>
          <w:p w14:paraId="191011A5">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二</w:t>
            </w:r>
          </w:p>
        </w:tc>
        <w:tc>
          <w:tcPr>
            <w:tcW w:w="8842" w:type="dxa"/>
            <w:gridSpan w:val="3"/>
            <w:vAlign w:val="center"/>
          </w:tcPr>
          <w:p w14:paraId="2DA19606">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技术部分（53分)</w:t>
            </w:r>
          </w:p>
        </w:tc>
        <w:tc>
          <w:tcPr>
            <w:tcW w:w="389" w:type="dxa"/>
          </w:tcPr>
          <w:p w14:paraId="1A375093">
            <w:pPr>
              <w:adjustRightInd w:val="0"/>
              <w:snapToGrid w:val="0"/>
              <w:spacing w:after="0" w:line="360" w:lineRule="auto"/>
              <w:jc w:val="left"/>
              <w:rPr>
                <w:rFonts w:hint="eastAsia" w:ascii="仿宋" w:hAnsi="仿宋" w:eastAsia="仿宋" w:cs="仿宋"/>
                <w:szCs w:val="21"/>
                <w:lang w:val="en-US" w:eastAsia="zh-CN"/>
              </w:rPr>
            </w:pPr>
          </w:p>
        </w:tc>
      </w:tr>
      <w:tr w14:paraId="0503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419" w:type="dxa"/>
            <w:vAlign w:val="center"/>
          </w:tcPr>
          <w:p w14:paraId="2967CBDD">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w:t>
            </w:r>
          </w:p>
        </w:tc>
        <w:tc>
          <w:tcPr>
            <w:tcW w:w="1203" w:type="dxa"/>
            <w:vAlign w:val="center"/>
          </w:tcPr>
          <w:p w14:paraId="0E4AB679">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项目实施方案</w:t>
            </w:r>
          </w:p>
        </w:tc>
        <w:tc>
          <w:tcPr>
            <w:tcW w:w="736" w:type="dxa"/>
            <w:vAlign w:val="center"/>
          </w:tcPr>
          <w:p w14:paraId="7D26F8B6">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20分</w:t>
            </w:r>
          </w:p>
        </w:tc>
        <w:tc>
          <w:tcPr>
            <w:tcW w:w="6903" w:type="dxa"/>
            <w:vAlign w:val="center"/>
          </w:tcPr>
          <w:p w14:paraId="6DDB616A">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投标人根据本项目的服务需求以及对本项目的理解提供项目实施技术方案，</w:t>
            </w:r>
            <w:r>
              <w:rPr>
                <w:rFonts w:hint="default" w:ascii="仿宋" w:hAnsi="仿宋" w:eastAsia="仿宋" w:cs="仿宋"/>
                <w:szCs w:val="21"/>
                <w:lang w:val="en-US" w:eastAsia="zh-CN"/>
              </w:rPr>
              <w:t>至少包①项目组织机构配置；②本项目的重点、难点分析；③调查前期准备情况及资料收集方案；④生物多样性调查实施方案；⑤成果提交保障方案</w:t>
            </w:r>
            <w:r>
              <w:rPr>
                <w:rFonts w:hint="eastAsia" w:ascii="仿宋" w:hAnsi="仿宋" w:eastAsia="仿宋" w:cs="仿宋"/>
                <w:szCs w:val="21"/>
                <w:lang w:val="en-US" w:eastAsia="zh-CN"/>
              </w:rPr>
              <w:t>。</w:t>
            </w:r>
          </w:p>
          <w:p w14:paraId="1B9AF56A">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完全满足以上要求且合理的得20分，每有一项内容缺失扣4分，每有一处内容有缺陷的扣5分，扣完为止。</w:t>
            </w:r>
          </w:p>
          <w:p w14:paraId="08169A05">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说明：缺陷是指存在不适用项目实际情况的情形、凭空编造、内容前后不一致、前后逻辑错误、涉及的规范及标准错误、地点区 域错误、不符合采购需求、不利于项目实施等。</w:t>
            </w:r>
          </w:p>
        </w:tc>
        <w:tc>
          <w:tcPr>
            <w:tcW w:w="389" w:type="dxa"/>
          </w:tcPr>
          <w:p w14:paraId="4D1585B7">
            <w:pPr>
              <w:adjustRightInd w:val="0"/>
              <w:snapToGrid w:val="0"/>
              <w:spacing w:after="0" w:line="360" w:lineRule="auto"/>
              <w:jc w:val="left"/>
              <w:rPr>
                <w:rFonts w:hint="eastAsia" w:ascii="仿宋" w:hAnsi="仿宋" w:eastAsia="仿宋" w:cs="仿宋"/>
                <w:szCs w:val="21"/>
                <w:lang w:val="en-US" w:eastAsia="zh-CN"/>
              </w:rPr>
            </w:pPr>
          </w:p>
        </w:tc>
      </w:tr>
      <w:tr w14:paraId="05ED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19" w:type="dxa"/>
            <w:vAlign w:val="center"/>
          </w:tcPr>
          <w:p w14:paraId="4633FE6E">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2</w:t>
            </w:r>
          </w:p>
        </w:tc>
        <w:tc>
          <w:tcPr>
            <w:tcW w:w="1203" w:type="dxa"/>
            <w:vAlign w:val="center"/>
          </w:tcPr>
          <w:p w14:paraId="1ED6FF1D">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项目保障措施方案</w:t>
            </w:r>
          </w:p>
        </w:tc>
        <w:tc>
          <w:tcPr>
            <w:tcW w:w="736" w:type="dxa"/>
            <w:vAlign w:val="center"/>
          </w:tcPr>
          <w:p w14:paraId="4C995104">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12分</w:t>
            </w:r>
          </w:p>
        </w:tc>
        <w:tc>
          <w:tcPr>
            <w:tcW w:w="6903" w:type="dxa"/>
            <w:vAlign w:val="center"/>
          </w:tcPr>
          <w:p w14:paraId="553008D7">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投标人针对本项目提供的质量保障方案中内容至少应包括①进度保障措施；②安全保障措施；③质量保障措施；④应急预案。完全满足以上要求且合理的得12分，每有一项内容缺失扣3分，每有一处内容有缺陷的扣1.5分，扣完为止。</w:t>
            </w:r>
          </w:p>
          <w:p w14:paraId="4CCAACE4">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说明：缺陷是指存在不适用项目实际情况的情形、凭空编造、内容前后不一致、前后逻辑错误、涉及的规范及标准错误、地点区域错误、不符合采购需求、不利于项目实施等。</w:t>
            </w:r>
          </w:p>
        </w:tc>
        <w:tc>
          <w:tcPr>
            <w:tcW w:w="389" w:type="dxa"/>
          </w:tcPr>
          <w:p w14:paraId="3BF5C9BB">
            <w:pPr>
              <w:adjustRightInd w:val="0"/>
              <w:snapToGrid w:val="0"/>
              <w:spacing w:after="0" w:line="360" w:lineRule="auto"/>
              <w:jc w:val="left"/>
              <w:rPr>
                <w:rFonts w:hint="eastAsia" w:ascii="仿宋" w:hAnsi="仿宋" w:eastAsia="仿宋" w:cs="仿宋"/>
                <w:szCs w:val="21"/>
                <w:lang w:val="en-US" w:eastAsia="zh-CN"/>
              </w:rPr>
            </w:pPr>
          </w:p>
        </w:tc>
      </w:tr>
      <w:tr w14:paraId="3C41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419" w:type="dxa"/>
            <w:vAlign w:val="center"/>
          </w:tcPr>
          <w:p w14:paraId="49588A63">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3</w:t>
            </w:r>
          </w:p>
        </w:tc>
        <w:tc>
          <w:tcPr>
            <w:tcW w:w="1203" w:type="dxa"/>
            <w:vAlign w:val="center"/>
          </w:tcPr>
          <w:p w14:paraId="7877E9B2">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后续服务方案</w:t>
            </w:r>
          </w:p>
        </w:tc>
        <w:tc>
          <w:tcPr>
            <w:tcW w:w="736" w:type="dxa"/>
            <w:vAlign w:val="center"/>
          </w:tcPr>
          <w:p w14:paraId="526087BD">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12分</w:t>
            </w:r>
          </w:p>
        </w:tc>
        <w:tc>
          <w:tcPr>
            <w:tcW w:w="6903" w:type="dxa"/>
            <w:vAlign w:val="center"/>
          </w:tcPr>
          <w:p w14:paraId="54C585A8">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投标人针对本项目提供的后续服务方案内容至少应包括①项目实施野外调查安全、后勤保障；②项目实施后续服务承诺、计划安排；③后续服务人员配置情况。完全满足以上要求且合理的得12分，每有一项内容缺失扣4分，每有一处内容有缺陷的扣2分，扣完为止。</w:t>
            </w:r>
          </w:p>
          <w:p w14:paraId="26B9674F">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说明：缺陷是指存在不适用项目实际情况的情形、凭空编造、内容前后不一致、前后逻辑错误、涉及的规范及标准错误、地点区域错误、不符合采购需求、不利于项目实施等。</w:t>
            </w:r>
          </w:p>
        </w:tc>
        <w:tc>
          <w:tcPr>
            <w:tcW w:w="389" w:type="dxa"/>
          </w:tcPr>
          <w:p w14:paraId="56F6BC4C">
            <w:pPr>
              <w:adjustRightInd w:val="0"/>
              <w:snapToGrid w:val="0"/>
              <w:spacing w:after="0" w:line="360" w:lineRule="auto"/>
              <w:jc w:val="left"/>
              <w:rPr>
                <w:rFonts w:hint="eastAsia" w:ascii="仿宋" w:hAnsi="仿宋" w:eastAsia="仿宋" w:cs="仿宋"/>
                <w:szCs w:val="21"/>
                <w:lang w:val="en-US" w:eastAsia="zh-CN"/>
              </w:rPr>
            </w:pPr>
          </w:p>
        </w:tc>
      </w:tr>
      <w:tr w14:paraId="6667C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419" w:type="dxa"/>
            <w:vAlign w:val="center"/>
          </w:tcPr>
          <w:p w14:paraId="3A426FBD">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4</w:t>
            </w:r>
          </w:p>
        </w:tc>
        <w:tc>
          <w:tcPr>
            <w:tcW w:w="1203" w:type="dxa"/>
            <w:vAlign w:val="center"/>
          </w:tcPr>
          <w:p w14:paraId="703FCC77">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rPr>
              <w:t>技术服务思路与技术路线</w:t>
            </w:r>
          </w:p>
        </w:tc>
        <w:tc>
          <w:tcPr>
            <w:tcW w:w="736" w:type="dxa"/>
            <w:vAlign w:val="center"/>
          </w:tcPr>
          <w:p w14:paraId="5806ADCC">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9分</w:t>
            </w:r>
          </w:p>
        </w:tc>
        <w:tc>
          <w:tcPr>
            <w:tcW w:w="6903" w:type="dxa"/>
            <w:vAlign w:val="center"/>
          </w:tcPr>
          <w:p w14:paraId="03B20BE6">
            <w:pPr>
              <w:adjustRightInd w:val="0"/>
              <w:snapToGrid w:val="0"/>
              <w:spacing w:after="0" w:line="360" w:lineRule="auto"/>
              <w:jc w:val="left"/>
              <w:rPr>
                <w:rFonts w:hint="eastAsia" w:ascii="仿宋" w:hAnsi="仿宋" w:eastAsia="仿宋" w:cs="仿宋"/>
                <w:szCs w:val="21"/>
              </w:rPr>
            </w:pPr>
            <w:r>
              <w:rPr>
                <w:rFonts w:hint="eastAsia" w:ascii="仿宋" w:hAnsi="仿宋" w:eastAsia="仿宋" w:cs="仿宋"/>
                <w:szCs w:val="21"/>
                <w:lang w:val="en-US" w:eastAsia="zh-CN"/>
              </w:rPr>
              <w:t>投标人针对本项目提供的</w:t>
            </w:r>
            <w:r>
              <w:rPr>
                <w:rFonts w:hint="eastAsia" w:ascii="仿宋" w:hAnsi="仿宋" w:eastAsia="仿宋" w:cs="仿宋"/>
                <w:szCs w:val="21"/>
              </w:rPr>
              <w:t>技术服务思路与技术路线</w:t>
            </w:r>
            <w:r>
              <w:rPr>
                <w:rFonts w:hint="eastAsia" w:ascii="仿宋" w:hAnsi="仿宋" w:eastAsia="仿宋" w:cs="仿宋"/>
                <w:szCs w:val="21"/>
                <w:lang w:val="en-US" w:eastAsia="zh-CN"/>
              </w:rPr>
              <w:t>内容至少应包括</w:t>
            </w:r>
            <w:r>
              <w:rPr>
                <w:rFonts w:hint="eastAsia" w:ascii="仿宋" w:hAnsi="仿宋" w:eastAsia="仿宋" w:cs="仿宋"/>
                <w:szCs w:val="21"/>
              </w:rPr>
              <w:t>①实施办法；</w:t>
            </w:r>
            <w:r>
              <w:rPr>
                <w:rFonts w:hint="eastAsia" w:ascii="仿宋" w:hAnsi="仿宋" w:eastAsia="仿宋" w:cs="仿宋"/>
                <w:szCs w:val="21"/>
                <w:lang w:val="zh-CN"/>
              </w:rPr>
              <w:t>②</w:t>
            </w:r>
            <w:r>
              <w:rPr>
                <w:rFonts w:hint="eastAsia" w:ascii="仿宋" w:hAnsi="仿宋" w:eastAsia="仿宋" w:cs="仿宋"/>
                <w:szCs w:val="21"/>
              </w:rPr>
              <w:t>技术路线；</w:t>
            </w:r>
            <w:r>
              <w:rPr>
                <w:rFonts w:hint="eastAsia" w:ascii="仿宋" w:hAnsi="仿宋" w:eastAsia="仿宋" w:cs="仿宋"/>
                <w:szCs w:val="21"/>
                <w:lang w:val="zh-CN"/>
              </w:rPr>
              <w:t>③</w:t>
            </w:r>
            <w:r>
              <w:rPr>
                <w:rFonts w:hint="eastAsia" w:ascii="仿宋" w:hAnsi="仿宋" w:eastAsia="仿宋" w:cs="仿宋"/>
                <w:szCs w:val="21"/>
              </w:rPr>
              <w:t>规划编制大纲</w:t>
            </w:r>
            <w:r>
              <w:rPr>
                <w:rFonts w:hint="eastAsia" w:ascii="仿宋" w:hAnsi="仿宋" w:eastAsia="仿宋" w:cs="仿宋"/>
                <w:szCs w:val="21"/>
                <w:lang w:val="zh-CN"/>
              </w:rPr>
              <w:t>及流程</w:t>
            </w:r>
            <w:r>
              <w:rPr>
                <w:rFonts w:hint="eastAsia" w:ascii="仿宋" w:hAnsi="仿宋" w:eastAsia="仿宋" w:cs="仿宋"/>
                <w:szCs w:val="21"/>
              </w:rPr>
              <w:t>。</w:t>
            </w:r>
          </w:p>
          <w:p w14:paraId="7175D77C">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完全满足以上要求且合理的得9分，每有一项内容缺失扣3分，每有一处内容有缺陷的扣1.5分，扣完为止。</w:t>
            </w:r>
          </w:p>
          <w:p w14:paraId="4941A6C0">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说明：缺陷是指存在不适用项目实际情况的情形、凭空编造、内容前后不一致、前后逻辑错误、涉及的规范及标准错误、地点区域错误、不符合采购需求、不利于项目实施等。</w:t>
            </w:r>
            <w:bookmarkStart w:id="736" w:name="_GoBack"/>
            <w:bookmarkEnd w:id="736"/>
          </w:p>
        </w:tc>
        <w:tc>
          <w:tcPr>
            <w:tcW w:w="389" w:type="dxa"/>
          </w:tcPr>
          <w:p w14:paraId="293AA8FD">
            <w:pPr>
              <w:adjustRightInd w:val="0"/>
              <w:snapToGrid w:val="0"/>
              <w:spacing w:after="0" w:line="360" w:lineRule="auto"/>
              <w:jc w:val="left"/>
              <w:rPr>
                <w:rFonts w:hint="eastAsia" w:ascii="仿宋" w:hAnsi="仿宋" w:eastAsia="仿宋" w:cs="仿宋"/>
                <w:szCs w:val="21"/>
                <w:lang w:val="en-US" w:eastAsia="zh-CN"/>
              </w:rPr>
            </w:pPr>
          </w:p>
        </w:tc>
      </w:tr>
      <w:tr w14:paraId="7174D4C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34" w:hRule="atLeast"/>
          <w:jc w:val="center"/>
        </w:trPr>
        <w:tc>
          <w:tcPr>
            <w:tcW w:w="419" w:type="dxa"/>
            <w:tcBorders>
              <w:top w:val="single" w:color="auto" w:sz="4" w:space="0"/>
              <w:left w:val="single" w:color="auto" w:sz="4" w:space="0"/>
              <w:bottom w:val="single" w:color="auto" w:sz="4" w:space="0"/>
              <w:right w:val="single" w:color="auto" w:sz="4" w:space="0"/>
            </w:tcBorders>
            <w:vAlign w:val="center"/>
          </w:tcPr>
          <w:p w14:paraId="582F8D8F">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三</w:t>
            </w:r>
          </w:p>
        </w:tc>
        <w:tc>
          <w:tcPr>
            <w:tcW w:w="8842" w:type="dxa"/>
            <w:gridSpan w:val="3"/>
            <w:tcBorders>
              <w:top w:val="single" w:color="auto" w:sz="4" w:space="0"/>
              <w:left w:val="nil"/>
              <w:bottom w:val="single" w:color="auto" w:sz="4" w:space="0"/>
              <w:right w:val="single" w:color="auto" w:sz="4" w:space="0"/>
            </w:tcBorders>
            <w:vAlign w:val="center"/>
          </w:tcPr>
          <w:p w14:paraId="058BA09D">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商务部分（37分）</w:t>
            </w:r>
          </w:p>
        </w:tc>
        <w:tc>
          <w:tcPr>
            <w:tcW w:w="389" w:type="dxa"/>
            <w:tcBorders>
              <w:top w:val="single" w:color="auto" w:sz="4" w:space="0"/>
              <w:left w:val="nil"/>
              <w:bottom w:val="single" w:color="auto" w:sz="4" w:space="0"/>
              <w:right w:val="single" w:color="auto" w:sz="4" w:space="0"/>
            </w:tcBorders>
          </w:tcPr>
          <w:p w14:paraId="727DDB43">
            <w:pPr>
              <w:adjustRightInd w:val="0"/>
              <w:snapToGrid w:val="0"/>
              <w:spacing w:after="0" w:line="360" w:lineRule="auto"/>
              <w:jc w:val="left"/>
              <w:rPr>
                <w:rFonts w:hint="eastAsia" w:ascii="仿宋" w:hAnsi="仿宋" w:eastAsia="仿宋" w:cs="仿宋"/>
                <w:szCs w:val="21"/>
                <w:lang w:val="en-US" w:eastAsia="zh-CN"/>
              </w:rPr>
            </w:pPr>
          </w:p>
        </w:tc>
      </w:tr>
      <w:tr w14:paraId="0CE762E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08" w:hRule="atLeast"/>
          <w:jc w:val="center"/>
        </w:trPr>
        <w:tc>
          <w:tcPr>
            <w:tcW w:w="419" w:type="dxa"/>
            <w:tcBorders>
              <w:top w:val="single" w:color="auto" w:sz="4" w:space="0"/>
              <w:left w:val="single" w:color="auto" w:sz="4" w:space="0"/>
              <w:bottom w:val="single" w:color="auto" w:sz="4" w:space="0"/>
              <w:right w:val="single" w:color="auto" w:sz="4" w:space="0"/>
            </w:tcBorders>
            <w:vAlign w:val="center"/>
          </w:tcPr>
          <w:p w14:paraId="326E4C80">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w:t>
            </w:r>
          </w:p>
        </w:tc>
        <w:tc>
          <w:tcPr>
            <w:tcW w:w="1203" w:type="dxa"/>
            <w:tcBorders>
              <w:top w:val="single" w:color="auto" w:sz="4" w:space="0"/>
              <w:left w:val="nil"/>
              <w:bottom w:val="single" w:color="auto" w:sz="4" w:space="0"/>
              <w:right w:val="single" w:color="auto" w:sz="4" w:space="0"/>
            </w:tcBorders>
            <w:vAlign w:val="center"/>
          </w:tcPr>
          <w:p w14:paraId="04EEAD86">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类似业绩</w:t>
            </w:r>
          </w:p>
        </w:tc>
        <w:tc>
          <w:tcPr>
            <w:tcW w:w="736" w:type="dxa"/>
            <w:tcBorders>
              <w:top w:val="single" w:color="auto" w:sz="4" w:space="0"/>
              <w:left w:val="nil"/>
              <w:bottom w:val="single" w:color="auto" w:sz="4" w:space="0"/>
              <w:right w:val="single" w:color="auto" w:sz="4" w:space="0"/>
            </w:tcBorders>
            <w:vAlign w:val="center"/>
          </w:tcPr>
          <w:p w14:paraId="696E628D">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10分</w:t>
            </w:r>
          </w:p>
        </w:tc>
        <w:tc>
          <w:tcPr>
            <w:tcW w:w="6903" w:type="dxa"/>
            <w:tcBorders>
              <w:top w:val="single" w:color="auto" w:sz="4" w:space="0"/>
              <w:left w:val="nil"/>
              <w:bottom w:val="single" w:color="auto" w:sz="4" w:space="0"/>
              <w:right w:val="single" w:color="auto" w:sz="4" w:space="0"/>
            </w:tcBorders>
            <w:vAlign w:val="center"/>
          </w:tcPr>
          <w:p w14:paraId="7035087E">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1.</w:t>
            </w:r>
            <w:r>
              <w:rPr>
                <w:rFonts w:hint="default" w:ascii="仿宋" w:hAnsi="仿宋" w:eastAsia="仿宋" w:cs="仿宋"/>
                <w:szCs w:val="21"/>
                <w:lang w:val="en-US" w:eastAsia="zh-CN"/>
              </w:rPr>
              <w:t>投标人近5年以来承担过生物多样性调查、生态本底调查、野生动植物资源调查、生态调查评估</w:t>
            </w:r>
            <w:r>
              <w:rPr>
                <w:rFonts w:hint="eastAsia" w:ascii="仿宋" w:hAnsi="仿宋" w:eastAsia="仿宋" w:cs="仿宋"/>
                <w:szCs w:val="21"/>
                <w:lang w:val="en-US" w:eastAsia="zh-CN"/>
              </w:rPr>
              <w:t>等类似</w:t>
            </w:r>
            <w:r>
              <w:rPr>
                <w:rFonts w:hint="default" w:ascii="仿宋" w:hAnsi="仿宋" w:eastAsia="仿宋" w:cs="仿宋"/>
                <w:szCs w:val="21"/>
                <w:lang w:val="en-US" w:eastAsia="zh-CN"/>
              </w:rPr>
              <w:t>项目的，每提供1项得</w:t>
            </w:r>
            <w:r>
              <w:rPr>
                <w:rFonts w:hint="eastAsia" w:ascii="仿宋" w:hAnsi="仿宋" w:eastAsia="仿宋" w:cs="仿宋"/>
                <w:szCs w:val="21"/>
                <w:lang w:val="en-US" w:eastAsia="zh-CN"/>
              </w:rPr>
              <w:t>2</w:t>
            </w:r>
            <w:r>
              <w:rPr>
                <w:rFonts w:hint="default" w:ascii="仿宋" w:hAnsi="仿宋" w:eastAsia="仿宋" w:cs="仿宋"/>
                <w:szCs w:val="21"/>
                <w:lang w:val="en-US" w:eastAsia="zh-CN"/>
              </w:rPr>
              <w:t>分，最多得</w:t>
            </w:r>
            <w:r>
              <w:rPr>
                <w:rFonts w:hint="eastAsia" w:ascii="仿宋" w:hAnsi="仿宋" w:eastAsia="仿宋" w:cs="仿宋"/>
                <w:szCs w:val="21"/>
                <w:lang w:val="en-US" w:eastAsia="zh-CN"/>
              </w:rPr>
              <w:t>10</w:t>
            </w:r>
            <w:r>
              <w:rPr>
                <w:rFonts w:hint="default" w:ascii="仿宋" w:hAnsi="仿宋" w:eastAsia="仿宋" w:cs="仿宋"/>
                <w:szCs w:val="21"/>
                <w:lang w:val="en-US" w:eastAsia="zh-CN"/>
              </w:rPr>
              <w:t>分</w:t>
            </w:r>
            <w:r>
              <w:rPr>
                <w:rFonts w:hint="eastAsia" w:ascii="仿宋" w:hAnsi="仿宋" w:eastAsia="仿宋" w:cs="仿宋"/>
                <w:szCs w:val="21"/>
                <w:lang w:val="en-US" w:eastAsia="zh-CN"/>
              </w:rPr>
              <w:t>。</w:t>
            </w:r>
          </w:p>
          <w:p w14:paraId="0E997193">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注：需</w:t>
            </w:r>
            <w:r>
              <w:rPr>
                <w:rFonts w:hint="default" w:ascii="仿宋" w:hAnsi="仿宋" w:eastAsia="仿宋" w:cs="仿宋"/>
                <w:szCs w:val="21"/>
                <w:lang w:val="en-US" w:eastAsia="zh-CN"/>
              </w:rPr>
              <w:t>提供中标通知书或合同。</w:t>
            </w:r>
          </w:p>
        </w:tc>
        <w:tc>
          <w:tcPr>
            <w:tcW w:w="389" w:type="dxa"/>
            <w:tcBorders>
              <w:top w:val="single" w:color="auto" w:sz="4" w:space="0"/>
              <w:left w:val="nil"/>
              <w:bottom w:val="single" w:color="auto" w:sz="4" w:space="0"/>
              <w:right w:val="single" w:color="auto" w:sz="4" w:space="0"/>
            </w:tcBorders>
          </w:tcPr>
          <w:p w14:paraId="5260A04D">
            <w:pPr>
              <w:adjustRightInd w:val="0"/>
              <w:snapToGrid w:val="0"/>
              <w:spacing w:after="0" w:line="360" w:lineRule="auto"/>
              <w:jc w:val="left"/>
              <w:rPr>
                <w:rFonts w:hint="eastAsia" w:ascii="仿宋" w:hAnsi="仿宋" w:eastAsia="仿宋" w:cs="仿宋"/>
                <w:szCs w:val="21"/>
                <w:lang w:val="en-US" w:eastAsia="zh-CN"/>
              </w:rPr>
            </w:pPr>
          </w:p>
        </w:tc>
      </w:tr>
      <w:tr w14:paraId="5D563A6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08" w:hRule="atLeast"/>
          <w:jc w:val="center"/>
        </w:trPr>
        <w:tc>
          <w:tcPr>
            <w:tcW w:w="419" w:type="dxa"/>
            <w:tcBorders>
              <w:top w:val="single" w:color="auto" w:sz="4" w:space="0"/>
              <w:left w:val="single" w:color="auto" w:sz="4" w:space="0"/>
              <w:bottom w:val="single" w:color="auto" w:sz="4" w:space="0"/>
              <w:right w:val="single" w:color="auto" w:sz="4" w:space="0"/>
            </w:tcBorders>
            <w:vAlign w:val="center"/>
          </w:tcPr>
          <w:p w14:paraId="55968D3D">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2</w:t>
            </w:r>
          </w:p>
        </w:tc>
        <w:tc>
          <w:tcPr>
            <w:tcW w:w="1203" w:type="dxa"/>
            <w:tcBorders>
              <w:top w:val="single" w:color="auto" w:sz="4" w:space="0"/>
              <w:left w:val="nil"/>
              <w:bottom w:val="single" w:color="auto" w:sz="4" w:space="0"/>
              <w:right w:val="single" w:color="auto" w:sz="4" w:space="0"/>
            </w:tcBorders>
            <w:vAlign w:val="center"/>
          </w:tcPr>
          <w:p w14:paraId="6B9569B0">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实力要求</w:t>
            </w:r>
          </w:p>
        </w:tc>
        <w:tc>
          <w:tcPr>
            <w:tcW w:w="736" w:type="dxa"/>
            <w:tcBorders>
              <w:top w:val="single" w:color="auto" w:sz="4" w:space="0"/>
              <w:left w:val="nil"/>
              <w:bottom w:val="single" w:color="auto" w:sz="4" w:space="0"/>
              <w:right w:val="single" w:color="auto" w:sz="4" w:space="0"/>
            </w:tcBorders>
            <w:vAlign w:val="center"/>
          </w:tcPr>
          <w:p w14:paraId="0EC4E760">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5分</w:t>
            </w:r>
          </w:p>
        </w:tc>
        <w:tc>
          <w:tcPr>
            <w:tcW w:w="6903" w:type="dxa"/>
            <w:tcBorders>
              <w:top w:val="single" w:color="auto" w:sz="4" w:space="0"/>
              <w:left w:val="nil"/>
              <w:bottom w:val="single" w:color="auto" w:sz="4" w:space="0"/>
              <w:right w:val="single" w:color="auto" w:sz="4" w:space="0"/>
            </w:tcBorders>
            <w:vAlign w:val="center"/>
          </w:tcPr>
          <w:p w14:paraId="65C83503">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1.投标人具有生物多样性保护领域相关的计算机软件著作权登记证书1项及以上，得5分，不提供不得分。</w:t>
            </w:r>
          </w:p>
          <w:p w14:paraId="446BFB4D">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注：1.需提供证书扫描件或复印件，并加盖投标人公章。</w:t>
            </w:r>
          </w:p>
          <w:p w14:paraId="0ACE5B3A">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2.需提供国家版权局官方公开查询核验截图，并加盖投标人公章。</w:t>
            </w:r>
          </w:p>
        </w:tc>
        <w:tc>
          <w:tcPr>
            <w:tcW w:w="389" w:type="dxa"/>
            <w:tcBorders>
              <w:top w:val="single" w:color="auto" w:sz="4" w:space="0"/>
              <w:left w:val="nil"/>
              <w:bottom w:val="single" w:color="auto" w:sz="4" w:space="0"/>
              <w:right w:val="single" w:color="auto" w:sz="4" w:space="0"/>
            </w:tcBorders>
          </w:tcPr>
          <w:p w14:paraId="1DCD43FE">
            <w:pPr>
              <w:adjustRightInd w:val="0"/>
              <w:snapToGrid w:val="0"/>
              <w:spacing w:after="0" w:line="360" w:lineRule="auto"/>
              <w:jc w:val="left"/>
              <w:rPr>
                <w:rFonts w:hint="eastAsia" w:ascii="仿宋" w:hAnsi="仿宋" w:eastAsia="仿宋" w:cs="仿宋"/>
                <w:szCs w:val="21"/>
                <w:lang w:val="en-US" w:eastAsia="zh-CN"/>
              </w:rPr>
            </w:pPr>
          </w:p>
        </w:tc>
      </w:tr>
      <w:tr w14:paraId="1280E7A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78" w:hRule="atLeast"/>
          <w:jc w:val="center"/>
        </w:trPr>
        <w:tc>
          <w:tcPr>
            <w:tcW w:w="419" w:type="dxa"/>
            <w:tcBorders>
              <w:top w:val="single" w:color="auto" w:sz="4" w:space="0"/>
              <w:left w:val="single" w:color="auto" w:sz="4" w:space="0"/>
              <w:bottom w:val="single" w:color="auto" w:sz="4" w:space="0"/>
              <w:right w:val="single" w:color="auto" w:sz="4" w:space="0"/>
            </w:tcBorders>
            <w:vAlign w:val="center"/>
          </w:tcPr>
          <w:p w14:paraId="355DFA87">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3</w:t>
            </w:r>
          </w:p>
        </w:tc>
        <w:tc>
          <w:tcPr>
            <w:tcW w:w="1203" w:type="dxa"/>
            <w:tcBorders>
              <w:top w:val="single" w:color="auto" w:sz="4" w:space="0"/>
              <w:left w:val="nil"/>
              <w:bottom w:val="single" w:color="auto" w:sz="4" w:space="0"/>
              <w:right w:val="single" w:color="auto" w:sz="4" w:space="0"/>
            </w:tcBorders>
            <w:vAlign w:val="center"/>
          </w:tcPr>
          <w:p w14:paraId="4E370627">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项目负责人及团队专业技术能力</w:t>
            </w:r>
          </w:p>
        </w:tc>
        <w:tc>
          <w:tcPr>
            <w:tcW w:w="736" w:type="dxa"/>
            <w:tcBorders>
              <w:top w:val="single" w:color="auto" w:sz="4" w:space="0"/>
              <w:left w:val="nil"/>
              <w:bottom w:val="single" w:color="auto" w:sz="4" w:space="0"/>
              <w:right w:val="single" w:color="auto" w:sz="4" w:space="0"/>
            </w:tcBorders>
            <w:vAlign w:val="center"/>
          </w:tcPr>
          <w:p w14:paraId="47D94AC0">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22分</w:t>
            </w:r>
          </w:p>
        </w:tc>
        <w:tc>
          <w:tcPr>
            <w:tcW w:w="6903" w:type="dxa"/>
            <w:tcBorders>
              <w:top w:val="single" w:color="auto" w:sz="4" w:space="0"/>
              <w:left w:val="nil"/>
              <w:bottom w:val="single" w:color="auto" w:sz="4" w:space="0"/>
              <w:right w:val="single" w:color="auto" w:sz="4" w:space="0"/>
            </w:tcBorders>
            <w:vAlign w:val="center"/>
          </w:tcPr>
          <w:p w14:paraId="62F2914D">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一、项目负责人：1人（10分）</w:t>
            </w:r>
          </w:p>
          <w:p w14:paraId="50938815">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①具有“生态学或环境类”等相关专业博士研究生学历，且具有高级及以上专业技术职称（含高等学校副教授及以上、高级工程师、副研究员；副教授职称等同于高级专业技术职称），得10 分。</w:t>
            </w:r>
          </w:p>
          <w:p w14:paraId="308DC428">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zh-CN"/>
              </w:rPr>
              <w:t>②</w:t>
            </w:r>
            <w:r>
              <w:rPr>
                <w:rFonts w:hint="eastAsia" w:ascii="仿宋" w:hAnsi="仿宋" w:eastAsia="仿宋" w:cs="仿宋"/>
                <w:szCs w:val="21"/>
                <w:lang w:val="en-US" w:eastAsia="zh-CN"/>
              </w:rPr>
              <w:t>具有“生态学或环境类”等相关专业研究生学历及以上，或具有高级及以上专业技术职称（含高等学校副教授及以上、高级工程师、副研究员；副教授职称等同于高级专业技术职称），满足其一者，得 5 分。</w:t>
            </w:r>
          </w:p>
          <w:p w14:paraId="098438E4">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zh-CN"/>
              </w:rPr>
              <w:t>③</w:t>
            </w:r>
            <w:r>
              <w:rPr>
                <w:rFonts w:hint="eastAsia" w:ascii="仿宋" w:hAnsi="仿宋" w:eastAsia="仿宋" w:cs="仿宋"/>
                <w:szCs w:val="21"/>
                <w:lang w:val="en-US" w:eastAsia="zh-CN"/>
              </w:rPr>
              <w:t>其他情况不得分。</w:t>
            </w:r>
          </w:p>
          <w:p w14:paraId="21F0F756">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注：1.本项项目负责人1名；最高得分：10分。</w:t>
            </w:r>
          </w:p>
          <w:p w14:paraId="563CB0C1">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2.人员需提供相应的证书和劳动合同。</w:t>
            </w:r>
          </w:p>
          <w:p w14:paraId="5C4A0503">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3.项目负责人须为投标人在职人员，提供相关社会保险缴纳证明或承诺函。</w:t>
            </w:r>
          </w:p>
          <w:p w14:paraId="2A13C552">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二、项目实施成员：（12分）</w:t>
            </w:r>
          </w:p>
          <w:p w14:paraId="1519FA4E">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除项目负责人外，其他团队成员按以下标准计分，同一人员不重复计分，按最高档次计，本项总分最高 12分：</w:t>
            </w:r>
          </w:p>
          <w:p w14:paraId="023D1A88">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① 每配备1名同时满足以下条件的人员，得2分/人：</w:t>
            </w:r>
          </w:p>
          <w:p w14:paraId="76C28D6B">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（1）具有“生态学或环境类”等相关专业研究生学历及以上；且具有高级及以上专业技术职称（含副教授、高级工程师、副研究员等，副教授等同于副高级专业技术职称）。</w:t>
            </w:r>
          </w:p>
          <w:p w14:paraId="28F92740">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zh-CN"/>
              </w:rPr>
              <w:t>②</w:t>
            </w:r>
            <w:r>
              <w:rPr>
                <w:rFonts w:hint="eastAsia" w:ascii="仿宋" w:hAnsi="仿宋" w:eastAsia="仿宋" w:cs="仿宋"/>
                <w:szCs w:val="21"/>
                <w:lang w:val="en-US" w:eastAsia="zh-CN"/>
              </w:rPr>
              <w:t>每配备 1 名满足以下条件之一的人员，得 1分/人：</w:t>
            </w:r>
          </w:p>
          <w:p w14:paraId="48FC3375">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（1）具有“生态学或环境类”等相关专业研究生学历及以上，具有中级及以上专业技术职称（含高校讲师、工程师等）。</w:t>
            </w:r>
          </w:p>
          <w:p w14:paraId="5E6966D1">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zh-CN"/>
              </w:rPr>
              <w:t>③</w:t>
            </w:r>
            <w:r>
              <w:rPr>
                <w:rFonts w:hint="eastAsia" w:ascii="仿宋" w:hAnsi="仿宋" w:eastAsia="仿宋" w:cs="仿宋"/>
                <w:szCs w:val="21"/>
                <w:lang w:val="en-US" w:eastAsia="zh-CN"/>
              </w:rPr>
              <w:t>其他情况不得分。</w:t>
            </w:r>
          </w:p>
          <w:p w14:paraId="33D831AA">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注：</w:t>
            </w:r>
          </w:p>
          <w:p w14:paraId="735FAFEE">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1.与项目负责人不得为同一人，不重复计分。</w:t>
            </w:r>
          </w:p>
          <w:p w14:paraId="78D92231">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2.人员需提供相应的证书和劳动合同。</w:t>
            </w:r>
          </w:p>
          <w:p w14:paraId="18665356">
            <w:pPr>
              <w:adjustRightInd w:val="0"/>
              <w:snapToGrid w:val="0"/>
              <w:spacing w:after="0" w:line="360" w:lineRule="auto"/>
              <w:jc w:val="left"/>
              <w:rPr>
                <w:rFonts w:hint="default" w:ascii="仿宋" w:hAnsi="仿宋" w:eastAsia="仿宋" w:cs="仿宋"/>
                <w:szCs w:val="21"/>
                <w:lang w:val="en-US" w:eastAsia="zh-CN"/>
              </w:rPr>
            </w:pPr>
            <w:r>
              <w:rPr>
                <w:rFonts w:hint="eastAsia" w:ascii="仿宋" w:hAnsi="仿宋" w:eastAsia="仿宋" w:cs="仿宋"/>
                <w:szCs w:val="21"/>
                <w:lang w:val="en-US" w:eastAsia="zh-CN"/>
              </w:rPr>
              <w:t>3.项目实施成员须为投标人在职人员，提供近 3 个月内的社会保险缴纳证明。</w:t>
            </w:r>
          </w:p>
        </w:tc>
        <w:tc>
          <w:tcPr>
            <w:tcW w:w="389" w:type="dxa"/>
            <w:tcBorders>
              <w:top w:val="single" w:color="auto" w:sz="4" w:space="0"/>
              <w:left w:val="nil"/>
              <w:bottom w:val="single" w:color="auto" w:sz="4" w:space="0"/>
              <w:right w:val="single" w:color="auto" w:sz="4" w:space="0"/>
            </w:tcBorders>
          </w:tcPr>
          <w:p w14:paraId="30EAD667">
            <w:pPr>
              <w:adjustRightInd w:val="0"/>
              <w:snapToGrid w:val="0"/>
              <w:spacing w:after="0" w:line="360" w:lineRule="auto"/>
              <w:jc w:val="left"/>
              <w:rPr>
                <w:rFonts w:hint="eastAsia" w:ascii="仿宋" w:hAnsi="仿宋" w:eastAsia="仿宋" w:cs="仿宋"/>
                <w:szCs w:val="21"/>
                <w:lang w:val="en-US" w:eastAsia="zh-CN"/>
              </w:rPr>
            </w:pPr>
          </w:p>
        </w:tc>
      </w:tr>
      <w:tr w14:paraId="46D398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24" w:hRule="atLeast"/>
          <w:jc w:val="center"/>
        </w:trPr>
        <w:tc>
          <w:tcPr>
            <w:tcW w:w="9261" w:type="dxa"/>
            <w:gridSpan w:val="4"/>
            <w:tcBorders>
              <w:top w:val="single" w:color="auto" w:sz="4" w:space="0"/>
              <w:left w:val="single" w:color="auto" w:sz="4" w:space="0"/>
              <w:bottom w:val="single" w:color="auto" w:sz="4" w:space="0"/>
              <w:right w:val="single" w:color="auto" w:sz="4" w:space="0"/>
            </w:tcBorders>
            <w:vAlign w:val="center"/>
          </w:tcPr>
          <w:p w14:paraId="6AD49132">
            <w:pPr>
              <w:adjustRightInd w:val="0"/>
              <w:snapToGrid w:val="0"/>
              <w:spacing w:after="0" w:line="360" w:lineRule="auto"/>
              <w:jc w:val="left"/>
              <w:rPr>
                <w:rFonts w:hint="eastAsia" w:ascii="仿宋" w:hAnsi="仿宋" w:eastAsia="仿宋" w:cs="仿宋"/>
                <w:szCs w:val="21"/>
                <w:lang w:val="en-US" w:eastAsia="zh-CN"/>
              </w:rPr>
            </w:pPr>
            <w:r>
              <w:rPr>
                <w:rFonts w:hint="eastAsia" w:ascii="仿宋" w:hAnsi="仿宋" w:eastAsia="仿宋" w:cs="仿宋"/>
                <w:szCs w:val="21"/>
                <w:lang w:val="en-US" w:eastAsia="zh-CN"/>
              </w:rPr>
              <w:t>说明：投标人提供证明材料必须是真实有效的，一旦查实为无效或伪造，招标人有权取消投标人投标资格，没收投标保证金并按相关规定处罚。</w:t>
            </w:r>
          </w:p>
        </w:tc>
        <w:tc>
          <w:tcPr>
            <w:tcW w:w="389" w:type="dxa"/>
            <w:tcBorders>
              <w:top w:val="single" w:color="auto" w:sz="4" w:space="0"/>
              <w:left w:val="nil"/>
              <w:bottom w:val="single" w:color="auto" w:sz="4" w:space="0"/>
              <w:right w:val="single" w:color="auto" w:sz="4" w:space="0"/>
            </w:tcBorders>
          </w:tcPr>
          <w:p w14:paraId="3C2BD924">
            <w:pPr>
              <w:adjustRightInd w:val="0"/>
              <w:snapToGrid w:val="0"/>
              <w:spacing w:after="0" w:line="360" w:lineRule="auto"/>
              <w:jc w:val="left"/>
              <w:rPr>
                <w:rFonts w:hint="eastAsia" w:ascii="仿宋" w:hAnsi="仿宋" w:eastAsia="仿宋" w:cs="仿宋"/>
                <w:szCs w:val="21"/>
                <w:lang w:val="en-US" w:eastAsia="zh-CN"/>
              </w:rPr>
            </w:pPr>
          </w:p>
        </w:tc>
      </w:tr>
    </w:tbl>
    <w:p w14:paraId="5E311FCB">
      <w:pPr>
        <w:snapToGrid w:val="0"/>
        <w:spacing w:after="0" w:line="240" w:lineRule="auto"/>
        <w:rPr>
          <w:rFonts w:hint="eastAsia" w:ascii="仿宋" w:hAnsi="仿宋" w:eastAsia="仿宋" w:cs="仿宋"/>
          <w:szCs w:val="21"/>
        </w:rPr>
      </w:pPr>
    </w:p>
    <w:p w14:paraId="27FDCE8F">
      <w:pPr>
        <w:snapToGrid w:val="0"/>
        <w:spacing w:after="0" w:line="240" w:lineRule="auto"/>
        <w:rPr>
          <w:rFonts w:hint="eastAsia" w:ascii="仿宋" w:hAnsi="仿宋" w:eastAsia="仿宋" w:cs="仿宋"/>
          <w:szCs w:val="21"/>
        </w:rPr>
      </w:pPr>
    </w:p>
    <w:p w14:paraId="4EE9FB8C">
      <w:pPr>
        <w:snapToGrid w:val="0"/>
        <w:spacing w:after="0" w:line="360" w:lineRule="auto"/>
        <w:rPr>
          <w:rFonts w:hint="eastAsia" w:ascii="仿宋" w:hAnsi="仿宋" w:eastAsia="仿宋" w:cs="仿宋"/>
          <w:szCs w:val="21"/>
        </w:rPr>
      </w:pPr>
      <w:r>
        <w:rPr>
          <w:rFonts w:hint="eastAsia" w:ascii="仿宋" w:hAnsi="仿宋" w:eastAsia="仿宋" w:cs="仿宋"/>
          <w:szCs w:val="21"/>
        </w:rPr>
        <w:t>注：关于小微企业报价扣除比例说明</w:t>
      </w:r>
    </w:p>
    <w:p w14:paraId="0163FB29">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1．关于小微企业：</w:t>
      </w:r>
    </w:p>
    <w:p w14:paraId="73A70A71">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按&lt;关于印发《政府采购促进中小企业发展管理办法》的通知&gt;（</w:t>
      </w:r>
      <w:r>
        <w:rPr>
          <w:rFonts w:hint="eastAsia" w:ascii="仿宋" w:hAnsi="仿宋" w:eastAsia="仿宋" w:cs="仿宋"/>
          <w:bCs/>
          <w:szCs w:val="21"/>
        </w:rPr>
        <w:t>财库[2020]46号</w:t>
      </w:r>
      <w:r>
        <w:rPr>
          <w:rFonts w:hint="eastAsia" w:ascii="仿宋" w:hAnsi="仿宋" w:eastAsia="仿宋" w:cs="仿宋"/>
          <w:szCs w:val="21"/>
        </w:rPr>
        <w:t>）及《关于进一步加大政府采购支持中小企业力度的通知》财库〔2022〕19号之规定，中小企业的标准为：</w:t>
      </w:r>
    </w:p>
    <w:p w14:paraId="6A4873E1">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1.1提供本企业制造的货物、承担的工程或者服务，或者提供其他中小企业制造的货物，不包括提供或使用大型企业注册商标的货物。</w:t>
      </w:r>
    </w:p>
    <w:p w14:paraId="78927A97">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1.2本规定所称中小企业划分标准按照《工业和信息化部、国家统计局、国家发展和改革委员会、财政部关于印发中小企业划型标准规定的通知》（工信部联企业〔2011〕300号）执行，需提供《中小企业声明函》，否则不允扣除。</w:t>
      </w:r>
    </w:p>
    <w:p w14:paraId="2675FCBA">
      <w:pPr>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2．依照&lt;财政部、司法部关于政府采购支持监狱企业发展有关问题的通知&gt;（财库〔2014〕68号）之规定，监狱企业应当符合以下条件：</w:t>
      </w:r>
    </w:p>
    <w:p w14:paraId="176D2771">
      <w:pPr>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18ED28C">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2.2监狱企业参加政府采购活动时，视同小型、微型企业，应当提供由省级以上监狱管理局、戒毒管理局（含新疆生产建设兵团）出具的属于监狱企业的证明文件，否则不允扣除。</w:t>
      </w:r>
    </w:p>
    <w:p w14:paraId="6F301D0C">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3.根据《财政部 民政部 中国残疾人联合会关于促进残疾人就业政府采购政策的通知》（财库〔2017〕141号）的规定，残疾人福利性单位视同小型、微型企业，享受预留份额、评审中价格扣除等促进中小企业发展的政府采购政策，需提供《残疾人福利性单位声明函》，否则不允扣除。</w:t>
      </w:r>
    </w:p>
    <w:p w14:paraId="23D74D8C">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对于同时属于小微企业、监狱企业或残疾人福利性单位的，不重复进行投标报价扣除。</w:t>
      </w:r>
    </w:p>
    <w:p w14:paraId="15C6B4D3">
      <w:pPr>
        <w:snapToGrid w:val="0"/>
        <w:spacing w:after="0" w:line="360" w:lineRule="auto"/>
        <w:ind w:firstLine="465"/>
        <w:rPr>
          <w:rFonts w:hint="eastAsia" w:ascii="仿宋" w:hAnsi="仿宋" w:eastAsia="仿宋" w:cs="仿宋"/>
          <w:szCs w:val="21"/>
        </w:rPr>
      </w:pPr>
      <w:r>
        <w:rPr>
          <w:rFonts w:hint="eastAsia" w:ascii="仿宋" w:hAnsi="仿宋" w:eastAsia="仿宋" w:cs="仿宋"/>
          <w:szCs w:val="21"/>
        </w:rPr>
        <w:t>4．具体投标报价扣除比例说明：供应商为非联合体投标的，对小微型企业给予10%的扣除，以扣除后的报价参与评审。</w:t>
      </w:r>
    </w:p>
    <w:p w14:paraId="0313C8A4">
      <w:pPr>
        <w:pStyle w:val="14"/>
        <w:numPr>
          <w:ilvl w:val="0"/>
          <w:numId w:val="9"/>
        </w:numPr>
        <w:tabs>
          <w:tab w:val="left" w:pos="602"/>
          <w:tab w:val="clear" w:pos="420"/>
        </w:tabs>
        <w:snapToGrid w:val="0"/>
        <w:spacing w:before="0" w:after="0" w:line="360" w:lineRule="auto"/>
        <w:ind w:left="0" w:firstLine="0"/>
        <w:jc w:val="left"/>
        <w:outlineLvl w:val="2"/>
        <w:rPr>
          <w:rFonts w:hint="eastAsia" w:ascii="仿宋" w:hAnsi="仿宋" w:eastAsia="仿宋" w:cs="仿宋"/>
          <w:sz w:val="24"/>
          <w:szCs w:val="24"/>
        </w:rPr>
      </w:pPr>
      <w:bookmarkStart w:id="637" w:name="_Toc17900"/>
      <w:bookmarkStart w:id="638" w:name="_Toc9522"/>
      <w:r>
        <w:rPr>
          <w:rFonts w:hint="eastAsia" w:ascii="仿宋" w:hAnsi="仿宋" w:eastAsia="仿宋" w:cs="仿宋"/>
          <w:sz w:val="24"/>
          <w:szCs w:val="24"/>
        </w:rPr>
        <w:t>评标方法</w:t>
      </w:r>
      <w:bookmarkEnd w:id="637"/>
      <w:bookmarkEnd w:id="638"/>
    </w:p>
    <w:p w14:paraId="2904E1B8">
      <w:pPr>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招标项目评标采用综合评分法。评标委员会对满足招标文件实质要求的投标文件，根据本章第2.2款规定的评分因素和评分标准进行评分，按照综合评分由高到低的顺序推荐中标候选人，但投标报价低于其成本的除外。</w:t>
      </w:r>
    </w:p>
    <w:p w14:paraId="3B5414C8">
      <w:pPr>
        <w:adjustRightInd w:val="0"/>
        <w:snapToGrid w:val="0"/>
        <w:spacing w:after="0" w:line="360" w:lineRule="auto"/>
        <w:ind w:firstLine="422" w:firstLineChars="200"/>
        <w:rPr>
          <w:rFonts w:hint="eastAsia" w:ascii="仿宋" w:hAnsi="仿宋" w:eastAsia="仿宋" w:cs="仿宋"/>
          <w:szCs w:val="21"/>
        </w:rPr>
      </w:pPr>
      <w:r>
        <w:rPr>
          <w:rFonts w:hint="eastAsia" w:ascii="仿宋" w:hAnsi="仿宋" w:eastAsia="仿宋" w:cs="仿宋"/>
          <w:b/>
        </w:rPr>
        <w:t>各有效供应商评审最终得分=各评标人员技术评审得分平均分+商务评审得分平均分+价格评审得分。</w:t>
      </w:r>
    </w:p>
    <w:p w14:paraId="23AE0B55">
      <w:pPr>
        <w:pStyle w:val="14"/>
        <w:numPr>
          <w:ilvl w:val="0"/>
          <w:numId w:val="9"/>
        </w:numPr>
        <w:tabs>
          <w:tab w:val="left" w:pos="602"/>
        </w:tabs>
        <w:snapToGrid w:val="0"/>
        <w:spacing w:before="0" w:after="0" w:line="360" w:lineRule="auto"/>
        <w:ind w:left="0" w:firstLine="0"/>
        <w:jc w:val="left"/>
        <w:outlineLvl w:val="2"/>
        <w:rPr>
          <w:rFonts w:hint="eastAsia" w:ascii="仿宋" w:hAnsi="仿宋" w:eastAsia="仿宋" w:cs="仿宋"/>
          <w:sz w:val="24"/>
          <w:szCs w:val="24"/>
        </w:rPr>
      </w:pPr>
      <w:bookmarkStart w:id="639" w:name="_Toc27035"/>
      <w:bookmarkStart w:id="640" w:name="_Toc2999"/>
      <w:r>
        <w:rPr>
          <w:rFonts w:hint="eastAsia" w:ascii="仿宋" w:hAnsi="仿宋" w:eastAsia="仿宋" w:cs="仿宋"/>
          <w:sz w:val="24"/>
          <w:szCs w:val="24"/>
        </w:rPr>
        <w:t>评审标准</w:t>
      </w:r>
      <w:bookmarkEnd w:id="639"/>
      <w:bookmarkEnd w:id="640"/>
    </w:p>
    <w:p w14:paraId="66F58B13">
      <w:pPr>
        <w:pStyle w:val="14"/>
        <w:tabs>
          <w:tab w:val="left" w:pos="588"/>
          <w:tab w:val="clear" w:pos="420"/>
        </w:tabs>
        <w:snapToGrid w:val="0"/>
        <w:spacing w:before="0" w:after="0" w:line="360" w:lineRule="auto"/>
        <w:ind w:left="0" w:firstLine="0"/>
        <w:jc w:val="left"/>
        <w:outlineLvl w:val="3"/>
        <w:rPr>
          <w:rFonts w:hint="eastAsia" w:ascii="仿宋" w:hAnsi="仿宋" w:eastAsia="仿宋" w:cs="仿宋"/>
          <w:sz w:val="24"/>
          <w:szCs w:val="24"/>
        </w:rPr>
      </w:pPr>
      <w:bookmarkStart w:id="641" w:name="_Toc23080"/>
      <w:r>
        <w:rPr>
          <w:rFonts w:hint="eastAsia" w:ascii="仿宋" w:hAnsi="仿宋" w:eastAsia="仿宋" w:cs="仿宋"/>
          <w:sz w:val="24"/>
          <w:szCs w:val="24"/>
        </w:rPr>
        <w:t>初步评审标准</w:t>
      </w:r>
      <w:bookmarkEnd w:id="641"/>
    </w:p>
    <w:p w14:paraId="74E557E1">
      <w:pPr>
        <w:adjustRightInd w:val="0"/>
        <w:snapToGrid w:val="0"/>
        <w:spacing w:after="0" w:line="360" w:lineRule="auto"/>
        <w:ind w:firstLine="369" w:firstLineChars="176"/>
        <w:rPr>
          <w:rFonts w:hint="eastAsia" w:ascii="仿宋" w:hAnsi="仿宋" w:eastAsia="仿宋" w:cs="仿宋"/>
          <w:szCs w:val="21"/>
        </w:rPr>
      </w:pPr>
      <w:r>
        <w:rPr>
          <w:rFonts w:hint="eastAsia" w:ascii="仿宋" w:hAnsi="仿宋" w:eastAsia="仿宋" w:cs="仿宋"/>
          <w:szCs w:val="21"/>
        </w:rPr>
        <w:t>初步评审标准：详见资格评审标准、符合性审查评审标准。（注：其中“资格评审标准”项由采购人代表或采购代理机构评审；符合性审查由评标委员会评审）。</w:t>
      </w:r>
    </w:p>
    <w:p w14:paraId="1D6935DF">
      <w:pPr>
        <w:pStyle w:val="14"/>
        <w:tabs>
          <w:tab w:val="left" w:pos="588"/>
          <w:tab w:val="clear" w:pos="420"/>
        </w:tabs>
        <w:snapToGrid w:val="0"/>
        <w:spacing w:before="0" w:after="0" w:line="360" w:lineRule="auto"/>
        <w:ind w:left="0" w:firstLine="0"/>
        <w:jc w:val="left"/>
        <w:outlineLvl w:val="3"/>
        <w:rPr>
          <w:rFonts w:hint="eastAsia" w:ascii="仿宋" w:hAnsi="仿宋" w:eastAsia="仿宋" w:cs="仿宋"/>
          <w:sz w:val="24"/>
          <w:szCs w:val="24"/>
        </w:rPr>
      </w:pPr>
      <w:bookmarkStart w:id="642" w:name="_Toc11093"/>
      <w:r>
        <w:rPr>
          <w:rFonts w:hint="eastAsia" w:ascii="仿宋" w:hAnsi="仿宋" w:eastAsia="仿宋" w:cs="仿宋"/>
          <w:sz w:val="24"/>
          <w:szCs w:val="24"/>
        </w:rPr>
        <w:t>详细评审标准</w:t>
      </w:r>
      <w:bookmarkEnd w:id="642"/>
    </w:p>
    <w:p w14:paraId="68446B79">
      <w:pPr>
        <w:adjustRightInd w:val="0"/>
        <w:snapToGrid w:val="0"/>
        <w:spacing w:after="0" w:line="360" w:lineRule="auto"/>
        <w:ind w:firstLine="369" w:firstLineChars="176"/>
        <w:rPr>
          <w:rFonts w:hint="eastAsia" w:ascii="仿宋" w:hAnsi="仿宋" w:eastAsia="仿宋" w:cs="仿宋"/>
          <w:szCs w:val="21"/>
        </w:rPr>
      </w:pPr>
      <w:r>
        <w:rPr>
          <w:rFonts w:hint="eastAsia" w:ascii="仿宋" w:hAnsi="仿宋" w:eastAsia="仿宋" w:cs="仿宋"/>
          <w:szCs w:val="21"/>
        </w:rPr>
        <w:t>详细评审标准：详见评分标准。</w:t>
      </w:r>
    </w:p>
    <w:p w14:paraId="23DBFB64">
      <w:pPr>
        <w:pStyle w:val="14"/>
        <w:numPr>
          <w:ilvl w:val="0"/>
          <w:numId w:val="9"/>
        </w:numPr>
        <w:tabs>
          <w:tab w:val="left" w:pos="602"/>
        </w:tabs>
        <w:snapToGrid w:val="0"/>
        <w:spacing w:before="0" w:after="0" w:line="360" w:lineRule="auto"/>
        <w:ind w:left="0" w:firstLine="0"/>
        <w:jc w:val="left"/>
        <w:outlineLvl w:val="2"/>
        <w:rPr>
          <w:rFonts w:hint="eastAsia" w:ascii="仿宋" w:hAnsi="仿宋" w:eastAsia="仿宋" w:cs="仿宋"/>
          <w:sz w:val="24"/>
          <w:szCs w:val="24"/>
        </w:rPr>
      </w:pPr>
      <w:bookmarkStart w:id="643" w:name="_Toc31426"/>
      <w:bookmarkStart w:id="644" w:name="_Toc7203"/>
      <w:r>
        <w:rPr>
          <w:rFonts w:hint="eastAsia" w:ascii="仿宋" w:hAnsi="仿宋" w:eastAsia="仿宋" w:cs="仿宋"/>
          <w:sz w:val="24"/>
          <w:szCs w:val="24"/>
        </w:rPr>
        <w:t>评标程序</w:t>
      </w:r>
      <w:bookmarkEnd w:id="643"/>
      <w:bookmarkEnd w:id="644"/>
    </w:p>
    <w:p w14:paraId="4947FD86">
      <w:pPr>
        <w:pStyle w:val="14"/>
        <w:tabs>
          <w:tab w:val="left" w:pos="588"/>
          <w:tab w:val="clear" w:pos="420"/>
        </w:tabs>
        <w:snapToGrid w:val="0"/>
        <w:spacing w:before="0" w:after="0" w:line="360" w:lineRule="auto"/>
        <w:ind w:left="0" w:firstLine="0"/>
        <w:jc w:val="left"/>
        <w:outlineLvl w:val="3"/>
        <w:rPr>
          <w:rFonts w:hint="eastAsia" w:ascii="仿宋" w:hAnsi="仿宋" w:eastAsia="仿宋" w:cs="仿宋"/>
          <w:sz w:val="24"/>
          <w:szCs w:val="24"/>
        </w:rPr>
      </w:pPr>
      <w:bookmarkStart w:id="645" w:name="_Toc336"/>
      <w:r>
        <w:rPr>
          <w:rFonts w:hint="eastAsia" w:ascii="仿宋" w:hAnsi="仿宋" w:eastAsia="仿宋" w:cs="仿宋"/>
          <w:sz w:val="24"/>
          <w:szCs w:val="24"/>
        </w:rPr>
        <w:t>初步评审</w:t>
      </w:r>
      <w:bookmarkEnd w:id="645"/>
    </w:p>
    <w:p w14:paraId="69D5E17B">
      <w:pPr>
        <w:pStyle w:val="8"/>
        <w:tabs>
          <w:tab w:val="left" w:pos="630"/>
          <w:tab w:val="clear" w:pos="420"/>
        </w:tabs>
        <w:snapToGrid w:val="0"/>
        <w:spacing w:after="0" w:line="360" w:lineRule="auto"/>
        <w:ind w:left="0" w:firstLine="641" w:firstLineChars="304"/>
        <w:rPr>
          <w:rFonts w:hint="eastAsia" w:ascii="仿宋" w:hAnsi="仿宋" w:eastAsia="仿宋" w:cs="仿宋"/>
          <w:b/>
          <w:bCs/>
        </w:rPr>
      </w:pPr>
      <w:r>
        <w:rPr>
          <w:rFonts w:hint="eastAsia" w:ascii="仿宋" w:hAnsi="仿宋" w:eastAsia="仿宋" w:cs="仿宋"/>
          <w:b/>
          <w:bCs/>
        </w:rPr>
        <w:t>※评标委员会根据本章第2.1款规定的标准对投标文件进行初步评审。有一项不符合评审标准的，评标委员会应当否决其投标。</w:t>
      </w:r>
    </w:p>
    <w:p w14:paraId="4D3829CA">
      <w:pPr>
        <w:pStyle w:val="8"/>
        <w:tabs>
          <w:tab w:val="left" w:pos="630"/>
          <w:tab w:val="clear" w:pos="420"/>
        </w:tabs>
        <w:snapToGrid w:val="0"/>
        <w:spacing w:after="0" w:line="360" w:lineRule="auto"/>
        <w:ind w:left="0" w:firstLine="713" w:firstLineChars="338"/>
        <w:rPr>
          <w:rFonts w:hint="eastAsia" w:ascii="仿宋" w:hAnsi="仿宋" w:eastAsia="仿宋" w:cs="仿宋"/>
          <w:b/>
          <w:bCs/>
        </w:rPr>
      </w:pPr>
      <w:r>
        <w:rPr>
          <w:rFonts w:hint="eastAsia" w:ascii="仿宋" w:hAnsi="仿宋" w:eastAsia="仿宋" w:cs="仿宋"/>
          <w:b/>
          <w:bCs/>
          <w:szCs w:val="21"/>
        </w:rPr>
        <w:t>※</w:t>
      </w:r>
      <w:r>
        <w:rPr>
          <w:rFonts w:hint="eastAsia" w:ascii="仿宋" w:hAnsi="仿宋" w:eastAsia="仿宋" w:cs="仿宋"/>
          <w:b/>
          <w:bCs/>
        </w:rPr>
        <w:t>供应商有以下情形之一的，评标委员会应当否决其投标：</w:t>
      </w:r>
    </w:p>
    <w:p w14:paraId="7EA7F8C1">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（1）第二章“供应商须知”第1.8款规定的任何一种情形；</w:t>
      </w:r>
    </w:p>
    <w:p w14:paraId="0CFF042B">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（2）不按照评标委员会要求澄清、说明或者补正；</w:t>
      </w:r>
    </w:p>
    <w:p w14:paraId="2E4FA96F">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（3）招标文件第六章“投标文件格式”中要求加盖公章的地方必须加盖投标人公章，要求法定代表人或其委托代理人签字的地方必须由法定代表人或其委托代理人签字；</w:t>
      </w:r>
    </w:p>
    <w:p w14:paraId="4123C990">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（4）供应商不符合国家或者招标文件规定的资格条件或资格评审标准；</w:t>
      </w:r>
    </w:p>
    <w:p w14:paraId="14F862AC">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（5）同一供应商递交两个以上不同的投标文件或者投标报价，但招标文件要求递交备选投标的除外；</w:t>
      </w:r>
    </w:p>
    <w:p w14:paraId="17EE0D4B">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（6）投标报价低于成本或者高于招标文件设定的最高投标限价；</w:t>
      </w:r>
    </w:p>
    <w:p w14:paraId="2280C18D">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（7）投标文件没有对招标文件的实质性要求和条件做出响应；</w:t>
      </w:r>
    </w:p>
    <w:p w14:paraId="408E06C1">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（8）供应商有串通投标、弄虚作假、行贿等违法行为；</w:t>
      </w:r>
    </w:p>
    <w:p w14:paraId="23A5ED5C">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（9）供应商以他人名义投标；</w:t>
      </w:r>
    </w:p>
    <w:p w14:paraId="2F8FB4B2">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（10）没有按照招标文件要求提供投标担保或者所提供的投标担保有瑕疵；</w:t>
      </w:r>
    </w:p>
    <w:p w14:paraId="3713D513">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（11）投标文件载明的招标项目完成期限超过招标文件规定的期限；</w:t>
      </w:r>
    </w:p>
    <w:p w14:paraId="0EE20D87">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（12）明显不符合技术规格、技术标准的要求；</w:t>
      </w:r>
    </w:p>
    <w:p w14:paraId="112D9C6F">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（13）投标文件载明的货物包装方式、检验标准和方法等不符合招标文件的要求；</w:t>
      </w:r>
    </w:p>
    <w:p w14:paraId="1DD6FE22">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（14）投标文件附有采购人不能接受的条件；</w:t>
      </w:r>
    </w:p>
    <w:p w14:paraId="5BE00D7B">
      <w:pPr>
        <w:pStyle w:val="20"/>
        <w:tabs>
          <w:tab w:val="left" w:pos="630"/>
        </w:tabs>
        <w:adjustRightInd w:val="0"/>
        <w:snapToGrid w:val="0"/>
        <w:spacing w:after="0" w:line="360" w:lineRule="auto"/>
        <w:ind w:firstLine="0" w:firstLineChars="0"/>
        <w:rPr>
          <w:rFonts w:hint="eastAsia" w:ascii="仿宋" w:hAnsi="仿宋" w:eastAsia="仿宋" w:cs="仿宋"/>
          <w:b/>
          <w:bCs/>
          <w:szCs w:val="21"/>
        </w:rPr>
      </w:pPr>
      <w:r>
        <w:rPr>
          <w:rFonts w:hint="eastAsia" w:ascii="仿宋" w:hAnsi="仿宋" w:eastAsia="仿宋" w:cs="仿宋"/>
          <w:b/>
          <w:bCs/>
          <w:szCs w:val="21"/>
        </w:rPr>
        <w:t>（15）不符合招标文件中规定的其他实质性要求。</w:t>
      </w:r>
    </w:p>
    <w:p w14:paraId="3D720B30">
      <w:pPr>
        <w:pStyle w:val="8"/>
        <w:tabs>
          <w:tab w:val="left" w:pos="630"/>
        </w:tabs>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评标过程中，评标委员会收到低于成本价投标的书面质疑材料、发现供应商的综合报价明显低于其他投标报价或者设有标底时明显低于标底，认为投标报价可能低于其个别成本的，应当书面要求该供应商做出书面说明并提供相关证明材料。供应商不能合理说明或者不能提供相应证明材料的，由评标委员会认定该供应商以低于成本报价竞标，评标委员会应当否决其投标。</w:t>
      </w:r>
    </w:p>
    <w:p w14:paraId="5B2412AB">
      <w:pPr>
        <w:pStyle w:val="8"/>
        <w:tabs>
          <w:tab w:val="left" w:pos="630"/>
        </w:tabs>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投标报价有算术错误的，评标委员会按照以下原则对投标报价进行修正，修正的价格经供应商书面确认后具有约束力。供应商不接受修正价格的，评标委员会应当否决其投标。</w:t>
      </w:r>
    </w:p>
    <w:p w14:paraId="11ED08FC">
      <w:pPr>
        <w:adjustRightInd w:val="0"/>
        <w:snapToGrid w:val="0"/>
        <w:spacing w:after="0" w:line="360" w:lineRule="auto"/>
        <w:ind w:firstLine="707" w:firstLineChars="337"/>
        <w:rPr>
          <w:rFonts w:hint="eastAsia" w:ascii="仿宋" w:hAnsi="仿宋" w:eastAsia="仿宋" w:cs="仿宋"/>
          <w:szCs w:val="21"/>
        </w:rPr>
      </w:pPr>
      <w:r>
        <w:rPr>
          <w:rFonts w:hint="eastAsia" w:ascii="仿宋" w:hAnsi="仿宋" w:eastAsia="仿宋" w:cs="仿宋"/>
          <w:szCs w:val="21"/>
        </w:rPr>
        <w:t>（1）投标文件中的大写金额与小写金额不一致的，以大写金额为准；</w:t>
      </w:r>
    </w:p>
    <w:p w14:paraId="4D7E5D60">
      <w:pPr>
        <w:adjustRightInd w:val="0"/>
        <w:snapToGrid w:val="0"/>
        <w:spacing w:after="0" w:line="360" w:lineRule="auto"/>
        <w:ind w:firstLine="707" w:firstLineChars="337"/>
        <w:rPr>
          <w:rFonts w:hint="eastAsia" w:ascii="仿宋" w:hAnsi="仿宋" w:eastAsia="仿宋" w:cs="仿宋"/>
          <w:szCs w:val="21"/>
        </w:rPr>
      </w:pPr>
      <w:r>
        <w:rPr>
          <w:rFonts w:hint="eastAsia" w:ascii="仿宋" w:hAnsi="仿宋" w:eastAsia="仿宋" w:cs="仿宋"/>
          <w:szCs w:val="21"/>
        </w:rPr>
        <w:t>（2）总价金额与根据单价计算出的结果不一致的，以单价金额为准修正总价，但单价金额小数点有明显错误的除外。</w:t>
      </w:r>
    </w:p>
    <w:p w14:paraId="03D0FDB3">
      <w:pPr>
        <w:pStyle w:val="14"/>
        <w:tabs>
          <w:tab w:val="left" w:pos="588"/>
          <w:tab w:val="clear" w:pos="420"/>
        </w:tabs>
        <w:snapToGrid w:val="0"/>
        <w:spacing w:before="0" w:after="0" w:line="360" w:lineRule="auto"/>
        <w:ind w:left="0" w:firstLine="0"/>
        <w:jc w:val="both"/>
        <w:outlineLvl w:val="3"/>
        <w:rPr>
          <w:rFonts w:hint="eastAsia" w:ascii="仿宋" w:hAnsi="仿宋" w:eastAsia="仿宋" w:cs="仿宋"/>
          <w:sz w:val="24"/>
          <w:szCs w:val="24"/>
        </w:rPr>
      </w:pPr>
      <w:bookmarkStart w:id="646" w:name="_Toc5654"/>
      <w:r>
        <w:rPr>
          <w:rFonts w:hint="eastAsia" w:ascii="仿宋" w:hAnsi="仿宋" w:eastAsia="仿宋" w:cs="仿宋"/>
          <w:sz w:val="24"/>
          <w:szCs w:val="24"/>
        </w:rPr>
        <w:t>详细评审</w:t>
      </w:r>
      <w:bookmarkEnd w:id="646"/>
    </w:p>
    <w:p w14:paraId="03A17CFF">
      <w:pPr>
        <w:pStyle w:val="8"/>
        <w:tabs>
          <w:tab w:val="left" w:pos="630"/>
          <w:tab w:val="clear" w:pos="420"/>
        </w:tabs>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评标委员会按照本章第2.2款规定的评审因素和量化标准进行评分，并计算出综合评估得分。</w:t>
      </w:r>
    </w:p>
    <w:p w14:paraId="6544E241">
      <w:pPr>
        <w:pStyle w:val="8"/>
        <w:tabs>
          <w:tab w:val="left" w:pos="630"/>
          <w:tab w:val="clear" w:pos="420"/>
        </w:tabs>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评分分值计算原则上保留小数点后两位，小数点后第二位“四舍五入”。另有规定的，见评标办法前附表。</w:t>
      </w:r>
    </w:p>
    <w:p w14:paraId="1EA8CA7B">
      <w:pPr>
        <w:pStyle w:val="14"/>
        <w:tabs>
          <w:tab w:val="left" w:pos="588"/>
          <w:tab w:val="clear" w:pos="420"/>
        </w:tabs>
        <w:adjustRightInd w:val="0"/>
        <w:snapToGrid w:val="0"/>
        <w:spacing w:before="0" w:after="0" w:line="360" w:lineRule="auto"/>
        <w:ind w:left="0" w:firstLine="0"/>
        <w:jc w:val="left"/>
        <w:outlineLvl w:val="3"/>
        <w:rPr>
          <w:rFonts w:hint="eastAsia" w:ascii="仿宋" w:hAnsi="仿宋" w:eastAsia="仿宋" w:cs="仿宋"/>
          <w:sz w:val="24"/>
          <w:szCs w:val="24"/>
        </w:rPr>
      </w:pPr>
      <w:bookmarkStart w:id="647" w:name="_Toc2466"/>
      <w:bookmarkStart w:id="648" w:name="_Toc447265275"/>
      <w:bookmarkStart w:id="649" w:name="_Toc447265561"/>
      <w:r>
        <w:rPr>
          <w:rFonts w:hint="eastAsia" w:ascii="仿宋" w:hAnsi="仿宋" w:eastAsia="仿宋" w:cs="仿宋"/>
          <w:sz w:val="24"/>
          <w:szCs w:val="24"/>
        </w:rPr>
        <w:t>投标文件的澄清</w:t>
      </w:r>
      <w:bookmarkEnd w:id="647"/>
      <w:bookmarkEnd w:id="648"/>
      <w:bookmarkEnd w:id="649"/>
    </w:p>
    <w:p w14:paraId="4C6C959E">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在评标过程中，评标委员会应当以书面形式要求供应商对所递交的投标文件中不明确的内容进行书面澄清、说明或者对投标文件中的细微偏差进行补正。评标委员会不接受供应商主动提出的澄清、说明或者补正。</w:t>
      </w:r>
    </w:p>
    <w:p w14:paraId="7CB4AC6E">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细微偏差是指投标文件在实质上响应招标文件要求，但个别地方存在漏项或者提供了不完整的技术信息和数据等情况，并且补正这些遗漏或者不完整不会对其他供应商造成不公平的结果。细微偏差不影响投标文件的有效性。</w:t>
      </w:r>
    </w:p>
    <w:p w14:paraId="3A47F697">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澄清、说明和补正不得改变投标文件的实质性内容（算术性错误修正的除外）。供应商的书面澄清、说明和补正属于投标文件的组成部分。</w:t>
      </w:r>
    </w:p>
    <w:p w14:paraId="75CBD7CB">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评标委员会对供应商递交的澄清、说明或者补正有疑问的，可以要求供应商进一步澄清、说明或者补正，直至满足评标委员会的要求。</w:t>
      </w:r>
    </w:p>
    <w:p w14:paraId="282277E4">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评标委员会必要时可以要求供应商递交有关证明和证件的原件，以便核验。</w:t>
      </w:r>
    </w:p>
    <w:p w14:paraId="4D5E2418">
      <w:pPr>
        <w:pStyle w:val="14"/>
        <w:tabs>
          <w:tab w:val="left" w:pos="588"/>
          <w:tab w:val="clear" w:pos="420"/>
        </w:tabs>
        <w:adjustRightInd w:val="0"/>
        <w:snapToGrid w:val="0"/>
        <w:spacing w:before="0" w:after="0" w:line="360" w:lineRule="auto"/>
        <w:ind w:left="0" w:firstLine="0"/>
        <w:jc w:val="left"/>
        <w:outlineLvl w:val="3"/>
        <w:rPr>
          <w:rFonts w:hint="eastAsia" w:ascii="仿宋" w:hAnsi="仿宋" w:eastAsia="仿宋" w:cs="仿宋"/>
          <w:sz w:val="24"/>
          <w:szCs w:val="24"/>
        </w:rPr>
      </w:pPr>
      <w:bookmarkStart w:id="650" w:name="_Toc22488"/>
      <w:r>
        <w:rPr>
          <w:rFonts w:hint="eastAsia" w:ascii="仿宋" w:hAnsi="仿宋" w:eastAsia="仿宋" w:cs="仿宋"/>
          <w:sz w:val="24"/>
          <w:szCs w:val="24"/>
        </w:rPr>
        <w:t>中标候选人推荐原则</w:t>
      </w:r>
      <w:bookmarkEnd w:id="650"/>
    </w:p>
    <w:p w14:paraId="2F9B8463">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除第二章“供应商须知”前附表授权直接确定中标人外，评标委员会按照综合评分由高到低的顺序推荐中标候选人。综合评分相同的，处理原则按照报价低者优先选择为中标候选人。综合评分相同的，优先选择价格得分高的供应商为中标候选人；以上都相同的，优先选择商务得分高的供应商为中标候选人；以上都相同的，随机选取中标候选人。</w:t>
      </w:r>
    </w:p>
    <w:p w14:paraId="7C32915E">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中标候选人推荐原则见评标办法前附表。</w:t>
      </w:r>
    </w:p>
    <w:p w14:paraId="3AFFC753">
      <w:pPr>
        <w:pStyle w:val="14"/>
        <w:tabs>
          <w:tab w:val="left" w:pos="588"/>
          <w:tab w:val="clear" w:pos="420"/>
        </w:tabs>
        <w:adjustRightInd w:val="0"/>
        <w:snapToGrid w:val="0"/>
        <w:spacing w:before="0" w:after="0" w:line="360" w:lineRule="auto"/>
        <w:ind w:left="0" w:firstLine="0"/>
        <w:jc w:val="left"/>
        <w:outlineLvl w:val="3"/>
        <w:rPr>
          <w:rFonts w:hint="eastAsia" w:ascii="仿宋" w:hAnsi="仿宋" w:eastAsia="仿宋" w:cs="仿宋"/>
          <w:sz w:val="24"/>
          <w:szCs w:val="24"/>
        </w:rPr>
      </w:pPr>
      <w:bookmarkStart w:id="651" w:name="_Toc30553"/>
      <w:r>
        <w:rPr>
          <w:rFonts w:hint="eastAsia" w:ascii="仿宋" w:hAnsi="仿宋" w:eastAsia="仿宋" w:cs="仿宋"/>
          <w:sz w:val="24"/>
          <w:szCs w:val="24"/>
        </w:rPr>
        <w:t>评标结果</w:t>
      </w:r>
      <w:bookmarkEnd w:id="651"/>
    </w:p>
    <w:p w14:paraId="018E7E84">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评标委员会完成评标后，应当向采购人递交书面评标报告。评标委员会分组评审的，应当形成统一、完整的评标报告。</w:t>
      </w:r>
    </w:p>
    <w:p w14:paraId="52984CBE">
      <w:pPr>
        <w:pStyle w:val="8"/>
        <w:tabs>
          <w:tab w:val="left" w:pos="630"/>
          <w:tab w:val="clear" w:pos="420"/>
        </w:tabs>
        <w:adjustRightInd w:val="0"/>
        <w:snapToGrid w:val="0"/>
        <w:spacing w:after="0" w:line="360" w:lineRule="auto"/>
        <w:ind w:left="0" w:firstLine="420" w:firstLineChars="200"/>
        <w:rPr>
          <w:rFonts w:hint="eastAsia" w:ascii="仿宋" w:hAnsi="仿宋" w:eastAsia="仿宋" w:cs="仿宋"/>
        </w:rPr>
      </w:pPr>
      <w:r>
        <w:rPr>
          <w:rFonts w:hint="eastAsia" w:ascii="仿宋" w:hAnsi="仿宋" w:eastAsia="仿宋" w:cs="仿宋"/>
        </w:rPr>
        <w:t>评标报告应当包括下列内容：</w:t>
      </w:r>
    </w:p>
    <w:p w14:paraId="37C4F71B">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基本情况；</w:t>
      </w:r>
    </w:p>
    <w:p w14:paraId="1A48A333">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开标记录和开标一览表；</w:t>
      </w:r>
    </w:p>
    <w:p w14:paraId="6FA98D94">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评标方法、评标标准或者评标因素一览表；</w:t>
      </w:r>
    </w:p>
    <w:p w14:paraId="56A94D7E">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评标专家评分原始记录表和否决投标的情况说明；</w:t>
      </w:r>
    </w:p>
    <w:p w14:paraId="380EB5D0">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经评审的价格或者评分比较一览表和供应商排序；</w:t>
      </w:r>
    </w:p>
    <w:p w14:paraId="2761BAA4">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推荐的中标候选人名单及其排序；</w:t>
      </w:r>
    </w:p>
    <w:p w14:paraId="6B41E364">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签订合同前要处理的事宜；</w:t>
      </w:r>
    </w:p>
    <w:p w14:paraId="59BD6DE9">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澄清、说明、补正事项纪要；</w:t>
      </w:r>
    </w:p>
    <w:p w14:paraId="532E63C7">
      <w:pPr>
        <w:pStyle w:val="20"/>
        <w:numPr>
          <w:ilvl w:val="0"/>
          <w:numId w:val="10"/>
        </w:numPr>
        <w:tabs>
          <w:tab w:val="left" w:pos="630"/>
        </w:tabs>
        <w:adjustRightInd w:val="0"/>
        <w:snapToGrid w:val="0"/>
        <w:spacing w:after="0" w:line="360" w:lineRule="auto"/>
        <w:ind w:left="0" w:firstLine="707" w:firstLineChars="337"/>
        <w:rPr>
          <w:rFonts w:hint="eastAsia" w:ascii="仿宋" w:hAnsi="仿宋" w:eastAsia="仿宋" w:cs="仿宋"/>
          <w:szCs w:val="21"/>
        </w:rPr>
      </w:pPr>
      <w:r>
        <w:rPr>
          <w:rFonts w:hint="eastAsia" w:ascii="仿宋" w:hAnsi="仿宋" w:eastAsia="仿宋" w:cs="仿宋"/>
          <w:szCs w:val="21"/>
        </w:rPr>
        <w:t>评标委员会成员名单及本人签字、拒绝在评标报告上签字的评标委员会成员名单及其陈述的不同意见和理由。</w:t>
      </w:r>
      <w:bookmarkStart w:id="652" w:name="_Toc226969316"/>
      <w:bookmarkStart w:id="653" w:name="_Toc107822520"/>
      <w:bookmarkStart w:id="654" w:name="_Toc227057922"/>
    </w:p>
    <w:p w14:paraId="35B6A4DB">
      <w:pPr>
        <w:pStyle w:val="20"/>
        <w:tabs>
          <w:tab w:val="left" w:pos="630"/>
        </w:tabs>
        <w:adjustRightInd w:val="0"/>
        <w:snapToGrid w:val="0"/>
        <w:spacing w:after="0" w:line="360" w:lineRule="auto"/>
        <w:ind w:firstLine="0" w:firstLineChars="0"/>
        <w:rPr>
          <w:rFonts w:hint="eastAsia" w:ascii="仿宋" w:hAnsi="仿宋" w:eastAsia="仿宋" w:cs="仿宋"/>
          <w:szCs w:val="21"/>
        </w:rPr>
        <w:sectPr>
          <w:pgSz w:w="11906" w:h="16838"/>
          <w:pgMar w:top="1440" w:right="1800" w:bottom="1440" w:left="1800" w:header="851" w:footer="992" w:gutter="0"/>
          <w:cols w:space="720" w:num="1"/>
          <w:docGrid w:type="lines" w:linePitch="312" w:charSpace="0"/>
        </w:sectPr>
      </w:pPr>
    </w:p>
    <w:p w14:paraId="3ADF3E0D">
      <w:pPr>
        <w:pStyle w:val="19"/>
        <w:spacing w:before="0" w:after="0" w:line="360" w:lineRule="auto"/>
        <w:rPr>
          <w:rFonts w:hint="eastAsia" w:ascii="仿宋" w:hAnsi="仿宋" w:eastAsia="仿宋" w:cs="仿宋"/>
          <w:b/>
          <w:bCs w:val="0"/>
          <w:kern w:val="0"/>
          <w:sz w:val="32"/>
          <w:szCs w:val="32"/>
        </w:rPr>
      </w:pPr>
      <w:bookmarkStart w:id="655" w:name="_Toc447265276"/>
      <w:bookmarkStart w:id="656" w:name="_Toc447265562"/>
      <w:bookmarkStart w:id="657" w:name="_Toc3309"/>
      <w:r>
        <w:rPr>
          <w:rFonts w:hint="eastAsia" w:ascii="仿宋" w:hAnsi="仿宋" w:eastAsia="仿宋" w:cs="仿宋"/>
          <w:b/>
          <w:bCs w:val="0"/>
          <w:kern w:val="0"/>
          <w:sz w:val="32"/>
          <w:szCs w:val="32"/>
        </w:rPr>
        <w:t>第四章 合同条款</w:t>
      </w:r>
      <w:bookmarkEnd w:id="652"/>
      <w:bookmarkEnd w:id="653"/>
      <w:bookmarkEnd w:id="654"/>
      <w:bookmarkEnd w:id="655"/>
      <w:bookmarkEnd w:id="656"/>
      <w:r>
        <w:rPr>
          <w:rFonts w:hint="eastAsia" w:ascii="仿宋" w:hAnsi="仿宋" w:eastAsia="仿宋" w:cs="仿宋"/>
          <w:b/>
          <w:bCs w:val="0"/>
          <w:kern w:val="0"/>
          <w:sz w:val="32"/>
          <w:szCs w:val="32"/>
        </w:rPr>
        <w:t>（样例）</w:t>
      </w:r>
      <w:bookmarkEnd w:id="657"/>
    </w:p>
    <w:p w14:paraId="215C400E">
      <w:pPr>
        <w:pStyle w:val="15"/>
        <w:spacing w:after="0"/>
        <w:ind w:firstLine="241"/>
        <w:jc w:val="center"/>
        <w:rPr>
          <w:rFonts w:hint="eastAsia" w:ascii="仿宋" w:hAnsi="仿宋" w:eastAsia="仿宋" w:cs="仿宋"/>
          <w:b/>
          <w:bCs/>
          <w:szCs w:val="21"/>
        </w:rPr>
      </w:pPr>
    </w:p>
    <w:p w14:paraId="6B122FED">
      <w:pPr>
        <w:spacing w:after="0" w:line="400" w:lineRule="exact"/>
        <w:jc w:val="center"/>
        <w:rPr>
          <w:rFonts w:hint="eastAsia" w:ascii="仿宋" w:hAnsi="仿宋" w:eastAsia="仿宋" w:cs="仿宋"/>
          <w:b/>
          <w:bCs/>
          <w:sz w:val="44"/>
          <w:szCs w:val="44"/>
        </w:rPr>
      </w:pPr>
      <w:r>
        <w:rPr>
          <w:rFonts w:hint="eastAsia" w:ascii="仿宋" w:hAnsi="仿宋" w:eastAsia="仿宋" w:cs="仿宋"/>
          <w:b/>
          <w:bCs/>
          <w:szCs w:val="21"/>
        </w:rPr>
        <w:t>（本合同条款作为合同范本，供应商中标后根据实际采购内容签订相关专业合同）</w:t>
      </w:r>
    </w:p>
    <w:p w14:paraId="33C584F2">
      <w:pPr>
        <w:spacing w:after="0" w:line="400" w:lineRule="exact"/>
        <w:jc w:val="center"/>
        <w:rPr>
          <w:rFonts w:hint="eastAsia" w:ascii="仿宋" w:hAnsi="仿宋" w:eastAsia="仿宋" w:cs="仿宋"/>
          <w:sz w:val="24"/>
        </w:rPr>
      </w:pPr>
    </w:p>
    <w:p w14:paraId="3B89F67B">
      <w:pPr>
        <w:spacing w:after="0" w:line="400" w:lineRule="exact"/>
        <w:rPr>
          <w:rFonts w:hint="eastAsia" w:ascii="仿宋" w:hAnsi="仿宋" w:eastAsia="仿宋" w:cs="仿宋"/>
          <w:sz w:val="24"/>
        </w:rPr>
      </w:pPr>
    </w:p>
    <w:p w14:paraId="36C199DC">
      <w:pPr>
        <w:spacing w:after="0" w:line="400" w:lineRule="exact"/>
        <w:rPr>
          <w:rFonts w:hint="eastAsia" w:ascii="仿宋" w:hAnsi="仿宋" w:eastAsia="仿宋" w:cs="仿宋"/>
          <w:sz w:val="24"/>
        </w:rPr>
      </w:pPr>
      <w:bookmarkStart w:id="658" w:name="_Toc227057959"/>
      <w:bookmarkStart w:id="659" w:name="_Toc447265599"/>
      <w:bookmarkStart w:id="660" w:name="_Toc107822570"/>
      <w:bookmarkStart w:id="661" w:name="_Toc226969353"/>
      <w:bookmarkStart w:id="662" w:name="_Toc447265313"/>
    </w:p>
    <w:p w14:paraId="3C386A35">
      <w:pPr>
        <w:spacing w:after="0" w:line="400" w:lineRule="exact"/>
        <w:rPr>
          <w:rFonts w:hint="eastAsia" w:ascii="仿宋" w:hAnsi="仿宋" w:eastAsia="仿宋" w:cs="仿宋"/>
          <w:sz w:val="24"/>
        </w:rPr>
      </w:pPr>
    </w:p>
    <w:p w14:paraId="5B4F5290">
      <w:pPr>
        <w:spacing w:after="0" w:line="400" w:lineRule="exact"/>
        <w:rPr>
          <w:rFonts w:hint="eastAsia" w:ascii="仿宋" w:hAnsi="仿宋" w:eastAsia="仿宋" w:cs="仿宋"/>
          <w:sz w:val="24"/>
        </w:rPr>
      </w:pPr>
    </w:p>
    <w:p w14:paraId="0D1F39F4">
      <w:pPr>
        <w:spacing w:after="0" w:line="400" w:lineRule="exact"/>
        <w:rPr>
          <w:rFonts w:hint="eastAsia" w:ascii="仿宋" w:hAnsi="仿宋" w:eastAsia="仿宋" w:cs="仿宋"/>
          <w:sz w:val="24"/>
        </w:rPr>
      </w:pPr>
    </w:p>
    <w:p w14:paraId="01FEFEBD">
      <w:pPr>
        <w:keepNext/>
        <w:keepLines/>
        <w:spacing w:after="0" w:line="360" w:lineRule="auto"/>
        <w:jc w:val="center"/>
        <w:outlineLvl w:val="1"/>
        <w:rPr>
          <w:rFonts w:hint="eastAsia" w:ascii="仿宋" w:hAnsi="仿宋" w:eastAsia="仿宋" w:cs="仿宋"/>
          <w:b/>
          <w:bCs/>
          <w:sz w:val="30"/>
          <w:szCs w:val="46"/>
        </w:rPr>
      </w:pPr>
      <w:bookmarkStart w:id="663" w:name="_Toc22143"/>
      <w:bookmarkStart w:id="664" w:name="_Toc75443045"/>
      <w:bookmarkStart w:id="665" w:name="_Toc22630"/>
      <w:bookmarkStart w:id="666" w:name="_Toc49590161"/>
      <w:bookmarkStart w:id="667" w:name="_Toc15889"/>
      <w:r>
        <w:rPr>
          <w:rFonts w:hint="eastAsia" w:ascii="仿宋" w:hAnsi="仿宋" w:eastAsia="仿宋" w:cs="仿宋"/>
          <w:b/>
          <w:bCs/>
          <w:sz w:val="30"/>
          <w:szCs w:val="46"/>
        </w:rPr>
        <w:t>第一部分 合同书</w:t>
      </w:r>
      <w:bookmarkEnd w:id="663"/>
      <w:bookmarkEnd w:id="664"/>
      <w:bookmarkEnd w:id="665"/>
      <w:bookmarkEnd w:id="666"/>
      <w:bookmarkEnd w:id="667"/>
    </w:p>
    <w:p w14:paraId="2E7F5BDF">
      <w:pPr>
        <w:spacing w:after="0" w:line="400" w:lineRule="exact"/>
        <w:rPr>
          <w:rFonts w:hint="eastAsia" w:ascii="仿宋" w:hAnsi="仿宋" w:eastAsia="仿宋" w:cs="仿宋"/>
          <w:sz w:val="24"/>
        </w:rPr>
      </w:pPr>
    </w:p>
    <w:p w14:paraId="66F4513B">
      <w:pPr>
        <w:spacing w:after="0" w:line="400" w:lineRule="exact"/>
        <w:rPr>
          <w:rFonts w:hint="eastAsia" w:ascii="仿宋" w:hAnsi="仿宋" w:eastAsia="仿宋" w:cs="仿宋"/>
          <w:sz w:val="24"/>
        </w:rPr>
      </w:pPr>
    </w:p>
    <w:p w14:paraId="45DD1F66">
      <w:pPr>
        <w:spacing w:after="0" w:line="400" w:lineRule="exact"/>
        <w:rPr>
          <w:rFonts w:hint="eastAsia" w:ascii="仿宋" w:hAnsi="仿宋" w:eastAsia="仿宋" w:cs="仿宋"/>
          <w:sz w:val="24"/>
        </w:rPr>
      </w:pPr>
    </w:p>
    <w:p w14:paraId="4F0A5329">
      <w:pPr>
        <w:spacing w:after="0" w:line="400" w:lineRule="exact"/>
        <w:rPr>
          <w:rFonts w:hint="eastAsia" w:ascii="仿宋" w:hAnsi="仿宋" w:eastAsia="仿宋" w:cs="仿宋"/>
          <w:sz w:val="24"/>
        </w:rPr>
      </w:pPr>
    </w:p>
    <w:p w14:paraId="5A253432">
      <w:pPr>
        <w:spacing w:after="0" w:line="400" w:lineRule="exact"/>
        <w:rPr>
          <w:rFonts w:hint="eastAsia" w:ascii="仿宋" w:hAnsi="仿宋" w:eastAsia="仿宋" w:cs="仿宋"/>
          <w:sz w:val="24"/>
        </w:rPr>
      </w:pPr>
    </w:p>
    <w:p w14:paraId="60503602">
      <w:pPr>
        <w:spacing w:after="0" w:line="400" w:lineRule="exact"/>
        <w:rPr>
          <w:rFonts w:hint="eastAsia" w:ascii="仿宋" w:hAnsi="仿宋" w:eastAsia="仿宋" w:cs="仿宋"/>
          <w:sz w:val="24"/>
        </w:rPr>
      </w:pPr>
    </w:p>
    <w:tbl>
      <w:tblPr>
        <w:tblStyle w:val="16"/>
        <w:tblW w:w="0" w:type="auto"/>
        <w:jc w:val="center"/>
        <w:tblLayout w:type="fixed"/>
        <w:tblCellMar>
          <w:top w:w="0" w:type="dxa"/>
          <w:left w:w="108" w:type="dxa"/>
          <w:bottom w:w="0" w:type="dxa"/>
          <w:right w:w="108" w:type="dxa"/>
        </w:tblCellMar>
      </w:tblPr>
      <w:tblGrid>
        <w:gridCol w:w="1747"/>
        <w:gridCol w:w="1763"/>
        <w:gridCol w:w="2872"/>
      </w:tblGrid>
      <w:tr w14:paraId="1056735F">
        <w:tblPrEx>
          <w:tblCellMar>
            <w:top w:w="0" w:type="dxa"/>
            <w:left w:w="108" w:type="dxa"/>
            <w:bottom w:w="0" w:type="dxa"/>
            <w:right w:w="108" w:type="dxa"/>
          </w:tblCellMar>
        </w:tblPrEx>
        <w:trPr>
          <w:trHeight w:val="750" w:hRule="atLeast"/>
          <w:jc w:val="center"/>
        </w:trPr>
        <w:tc>
          <w:tcPr>
            <w:tcW w:w="1747" w:type="dxa"/>
            <w:vAlign w:val="bottom"/>
          </w:tcPr>
          <w:p w14:paraId="0034CE63">
            <w:pPr>
              <w:spacing w:after="0" w:line="400" w:lineRule="exact"/>
              <w:jc w:val="distribute"/>
              <w:rPr>
                <w:rFonts w:hint="eastAsia" w:ascii="仿宋" w:hAnsi="仿宋" w:eastAsia="仿宋" w:cs="仿宋"/>
                <w:sz w:val="24"/>
              </w:rPr>
            </w:pPr>
            <w:r>
              <w:rPr>
                <w:rFonts w:hint="eastAsia" w:ascii="仿宋" w:hAnsi="仿宋" w:eastAsia="仿宋" w:cs="仿宋"/>
                <w:sz w:val="24"/>
              </w:rPr>
              <w:t>项目名称</w:t>
            </w:r>
          </w:p>
        </w:tc>
        <w:tc>
          <w:tcPr>
            <w:tcW w:w="1763" w:type="dxa"/>
            <w:vAlign w:val="bottom"/>
          </w:tcPr>
          <w:p w14:paraId="04DE4F69">
            <w:pPr>
              <w:spacing w:after="0" w:line="400" w:lineRule="exact"/>
              <w:jc w:val="left"/>
              <w:rPr>
                <w:rFonts w:hint="eastAsia" w:ascii="仿宋" w:hAnsi="仿宋" w:eastAsia="仿宋" w:cs="仿宋"/>
                <w:sz w:val="24"/>
              </w:rPr>
            </w:pPr>
            <w:r>
              <w:rPr>
                <w:rFonts w:hint="eastAsia" w:ascii="仿宋" w:hAnsi="仿宋" w:eastAsia="仿宋" w:cs="仿宋"/>
                <w:sz w:val="24"/>
              </w:rPr>
              <w:t>：</w:t>
            </w:r>
          </w:p>
        </w:tc>
        <w:tc>
          <w:tcPr>
            <w:tcW w:w="2872" w:type="dxa"/>
            <w:tcBorders>
              <w:bottom w:val="single" w:color="auto" w:sz="4" w:space="0"/>
            </w:tcBorders>
            <w:vAlign w:val="bottom"/>
          </w:tcPr>
          <w:p w14:paraId="5F991F66">
            <w:pPr>
              <w:spacing w:after="0" w:line="400" w:lineRule="exact"/>
              <w:rPr>
                <w:rFonts w:hint="eastAsia" w:ascii="仿宋" w:hAnsi="仿宋" w:eastAsia="仿宋" w:cs="仿宋"/>
                <w:sz w:val="24"/>
              </w:rPr>
            </w:pPr>
          </w:p>
        </w:tc>
      </w:tr>
      <w:tr w14:paraId="52474AC8">
        <w:tblPrEx>
          <w:tblCellMar>
            <w:top w:w="0" w:type="dxa"/>
            <w:left w:w="108" w:type="dxa"/>
            <w:bottom w:w="0" w:type="dxa"/>
            <w:right w:w="108" w:type="dxa"/>
          </w:tblCellMar>
        </w:tblPrEx>
        <w:trPr>
          <w:trHeight w:val="717" w:hRule="atLeast"/>
          <w:jc w:val="center"/>
        </w:trPr>
        <w:tc>
          <w:tcPr>
            <w:tcW w:w="1747" w:type="dxa"/>
            <w:vAlign w:val="bottom"/>
          </w:tcPr>
          <w:p w14:paraId="5F94B2A4">
            <w:pPr>
              <w:spacing w:after="0" w:line="400" w:lineRule="exact"/>
              <w:jc w:val="distribute"/>
              <w:rPr>
                <w:rFonts w:hint="eastAsia" w:ascii="仿宋" w:hAnsi="仿宋" w:eastAsia="仿宋" w:cs="仿宋"/>
                <w:sz w:val="24"/>
              </w:rPr>
            </w:pPr>
            <w:r>
              <w:rPr>
                <w:rFonts w:hint="eastAsia" w:ascii="仿宋" w:hAnsi="仿宋" w:eastAsia="仿宋" w:cs="仿宋"/>
                <w:sz w:val="24"/>
              </w:rPr>
              <w:t>甲方</w:t>
            </w:r>
          </w:p>
        </w:tc>
        <w:tc>
          <w:tcPr>
            <w:tcW w:w="1763" w:type="dxa"/>
            <w:vAlign w:val="bottom"/>
          </w:tcPr>
          <w:p w14:paraId="66962115">
            <w:pPr>
              <w:spacing w:after="0" w:line="400" w:lineRule="exact"/>
              <w:jc w:val="left"/>
              <w:rPr>
                <w:rFonts w:hint="eastAsia" w:ascii="仿宋" w:hAnsi="仿宋" w:eastAsia="仿宋" w:cs="仿宋"/>
                <w:sz w:val="24"/>
              </w:rPr>
            </w:pPr>
            <w:r>
              <w:rPr>
                <w:rFonts w:hint="eastAsia" w:ascii="仿宋" w:hAnsi="仿宋" w:eastAsia="仿宋" w:cs="仿宋"/>
                <w:sz w:val="24"/>
              </w:rPr>
              <w:t>：</w:t>
            </w:r>
          </w:p>
        </w:tc>
        <w:tc>
          <w:tcPr>
            <w:tcW w:w="2872" w:type="dxa"/>
            <w:tcBorders>
              <w:top w:val="single" w:color="auto" w:sz="4" w:space="0"/>
              <w:bottom w:val="single" w:color="auto" w:sz="4" w:space="0"/>
            </w:tcBorders>
            <w:vAlign w:val="bottom"/>
          </w:tcPr>
          <w:p w14:paraId="288004DD">
            <w:pPr>
              <w:spacing w:after="0" w:line="400" w:lineRule="exact"/>
              <w:rPr>
                <w:rFonts w:hint="eastAsia" w:ascii="仿宋" w:hAnsi="仿宋" w:eastAsia="仿宋" w:cs="仿宋"/>
                <w:sz w:val="24"/>
              </w:rPr>
            </w:pPr>
          </w:p>
        </w:tc>
      </w:tr>
      <w:tr w14:paraId="178E159F">
        <w:tblPrEx>
          <w:tblCellMar>
            <w:top w:w="0" w:type="dxa"/>
            <w:left w:w="108" w:type="dxa"/>
            <w:bottom w:w="0" w:type="dxa"/>
            <w:right w:w="108" w:type="dxa"/>
          </w:tblCellMar>
        </w:tblPrEx>
        <w:trPr>
          <w:trHeight w:val="717" w:hRule="atLeast"/>
          <w:jc w:val="center"/>
        </w:trPr>
        <w:tc>
          <w:tcPr>
            <w:tcW w:w="1747" w:type="dxa"/>
            <w:vAlign w:val="bottom"/>
          </w:tcPr>
          <w:p w14:paraId="140CB2DA">
            <w:pPr>
              <w:spacing w:after="0" w:line="400" w:lineRule="exact"/>
              <w:jc w:val="distribute"/>
              <w:rPr>
                <w:rFonts w:hint="eastAsia" w:ascii="仿宋" w:hAnsi="仿宋" w:eastAsia="仿宋" w:cs="仿宋"/>
                <w:sz w:val="24"/>
              </w:rPr>
            </w:pPr>
            <w:r>
              <w:rPr>
                <w:rFonts w:hint="eastAsia" w:ascii="仿宋" w:hAnsi="仿宋" w:eastAsia="仿宋" w:cs="仿宋"/>
                <w:sz w:val="24"/>
              </w:rPr>
              <w:t>乙方</w:t>
            </w:r>
          </w:p>
        </w:tc>
        <w:tc>
          <w:tcPr>
            <w:tcW w:w="1763" w:type="dxa"/>
            <w:vAlign w:val="bottom"/>
          </w:tcPr>
          <w:p w14:paraId="463600A7">
            <w:pPr>
              <w:spacing w:after="0" w:line="400" w:lineRule="exact"/>
              <w:jc w:val="left"/>
              <w:rPr>
                <w:rFonts w:hint="eastAsia" w:ascii="仿宋" w:hAnsi="仿宋" w:eastAsia="仿宋" w:cs="仿宋"/>
                <w:sz w:val="24"/>
              </w:rPr>
            </w:pPr>
            <w:r>
              <w:rPr>
                <w:rFonts w:hint="eastAsia" w:ascii="仿宋" w:hAnsi="仿宋" w:eastAsia="仿宋" w:cs="仿宋"/>
                <w:sz w:val="24"/>
              </w:rPr>
              <w:t>：</w:t>
            </w:r>
          </w:p>
        </w:tc>
        <w:tc>
          <w:tcPr>
            <w:tcW w:w="2872" w:type="dxa"/>
            <w:tcBorders>
              <w:top w:val="single" w:color="auto" w:sz="4" w:space="0"/>
              <w:bottom w:val="single" w:color="auto" w:sz="4" w:space="0"/>
            </w:tcBorders>
            <w:vAlign w:val="bottom"/>
          </w:tcPr>
          <w:p w14:paraId="20C3EDFF">
            <w:pPr>
              <w:spacing w:after="0" w:line="400" w:lineRule="exact"/>
              <w:rPr>
                <w:rFonts w:hint="eastAsia" w:ascii="仿宋" w:hAnsi="仿宋" w:eastAsia="仿宋" w:cs="仿宋"/>
                <w:sz w:val="24"/>
              </w:rPr>
            </w:pPr>
          </w:p>
        </w:tc>
      </w:tr>
      <w:tr w14:paraId="0DD55098">
        <w:tblPrEx>
          <w:tblCellMar>
            <w:top w:w="0" w:type="dxa"/>
            <w:left w:w="108" w:type="dxa"/>
            <w:bottom w:w="0" w:type="dxa"/>
            <w:right w:w="108" w:type="dxa"/>
          </w:tblCellMar>
        </w:tblPrEx>
        <w:trPr>
          <w:trHeight w:val="717" w:hRule="atLeast"/>
          <w:jc w:val="center"/>
        </w:trPr>
        <w:tc>
          <w:tcPr>
            <w:tcW w:w="1747" w:type="dxa"/>
            <w:vAlign w:val="bottom"/>
          </w:tcPr>
          <w:p w14:paraId="40E04144">
            <w:pPr>
              <w:spacing w:after="0" w:line="400" w:lineRule="exact"/>
              <w:jc w:val="distribute"/>
              <w:rPr>
                <w:rFonts w:hint="eastAsia" w:ascii="仿宋" w:hAnsi="仿宋" w:eastAsia="仿宋" w:cs="仿宋"/>
                <w:sz w:val="24"/>
              </w:rPr>
            </w:pPr>
            <w:r>
              <w:rPr>
                <w:rFonts w:hint="eastAsia" w:ascii="仿宋" w:hAnsi="仿宋" w:eastAsia="仿宋" w:cs="仿宋"/>
                <w:sz w:val="24"/>
              </w:rPr>
              <w:t>签订地</w:t>
            </w:r>
          </w:p>
        </w:tc>
        <w:tc>
          <w:tcPr>
            <w:tcW w:w="1763" w:type="dxa"/>
            <w:vAlign w:val="bottom"/>
          </w:tcPr>
          <w:p w14:paraId="763492A2">
            <w:pPr>
              <w:spacing w:after="0" w:line="400" w:lineRule="exact"/>
              <w:jc w:val="left"/>
              <w:rPr>
                <w:rFonts w:hint="eastAsia" w:ascii="仿宋" w:hAnsi="仿宋" w:eastAsia="仿宋" w:cs="仿宋"/>
                <w:sz w:val="24"/>
              </w:rPr>
            </w:pPr>
            <w:r>
              <w:rPr>
                <w:rFonts w:hint="eastAsia" w:ascii="仿宋" w:hAnsi="仿宋" w:eastAsia="仿宋" w:cs="仿宋"/>
                <w:sz w:val="24"/>
              </w:rPr>
              <w:t>：</w:t>
            </w:r>
          </w:p>
        </w:tc>
        <w:tc>
          <w:tcPr>
            <w:tcW w:w="2872" w:type="dxa"/>
            <w:tcBorders>
              <w:top w:val="single" w:color="auto" w:sz="4" w:space="0"/>
              <w:bottom w:val="single" w:color="auto" w:sz="4" w:space="0"/>
            </w:tcBorders>
            <w:vAlign w:val="bottom"/>
          </w:tcPr>
          <w:p w14:paraId="59EA5540">
            <w:pPr>
              <w:spacing w:after="0" w:line="400" w:lineRule="exact"/>
              <w:rPr>
                <w:rFonts w:hint="eastAsia" w:ascii="仿宋" w:hAnsi="仿宋" w:eastAsia="仿宋" w:cs="仿宋"/>
                <w:sz w:val="24"/>
              </w:rPr>
            </w:pPr>
          </w:p>
        </w:tc>
      </w:tr>
      <w:tr w14:paraId="3152C119">
        <w:tblPrEx>
          <w:tblCellMar>
            <w:top w:w="0" w:type="dxa"/>
            <w:left w:w="108" w:type="dxa"/>
            <w:bottom w:w="0" w:type="dxa"/>
            <w:right w:w="108" w:type="dxa"/>
          </w:tblCellMar>
        </w:tblPrEx>
        <w:trPr>
          <w:trHeight w:val="717" w:hRule="atLeast"/>
          <w:jc w:val="center"/>
        </w:trPr>
        <w:tc>
          <w:tcPr>
            <w:tcW w:w="1747" w:type="dxa"/>
            <w:vAlign w:val="bottom"/>
          </w:tcPr>
          <w:p w14:paraId="4B81909D">
            <w:pPr>
              <w:spacing w:after="0" w:line="400" w:lineRule="exact"/>
              <w:jc w:val="distribute"/>
              <w:rPr>
                <w:rFonts w:hint="eastAsia" w:ascii="仿宋" w:hAnsi="仿宋" w:eastAsia="仿宋" w:cs="仿宋"/>
                <w:sz w:val="24"/>
              </w:rPr>
            </w:pPr>
            <w:r>
              <w:rPr>
                <w:rFonts w:hint="eastAsia" w:ascii="仿宋" w:hAnsi="仿宋" w:eastAsia="仿宋" w:cs="仿宋"/>
                <w:sz w:val="24"/>
              </w:rPr>
              <w:t>签订日期</w:t>
            </w:r>
          </w:p>
        </w:tc>
        <w:tc>
          <w:tcPr>
            <w:tcW w:w="1763" w:type="dxa"/>
            <w:vAlign w:val="bottom"/>
          </w:tcPr>
          <w:p w14:paraId="4495B61F">
            <w:pPr>
              <w:spacing w:after="0" w:line="400" w:lineRule="exact"/>
              <w:jc w:val="left"/>
              <w:rPr>
                <w:rFonts w:hint="eastAsia" w:ascii="仿宋" w:hAnsi="仿宋" w:eastAsia="仿宋" w:cs="仿宋"/>
                <w:sz w:val="24"/>
              </w:rPr>
            </w:pPr>
            <w:r>
              <w:rPr>
                <w:rFonts w:hint="eastAsia" w:ascii="仿宋" w:hAnsi="仿宋" w:eastAsia="仿宋" w:cs="仿宋"/>
                <w:sz w:val="24"/>
              </w:rPr>
              <w:t>：</w:t>
            </w:r>
          </w:p>
        </w:tc>
        <w:tc>
          <w:tcPr>
            <w:tcW w:w="2872" w:type="dxa"/>
            <w:tcBorders>
              <w:top w:val="single" w:color="auto" w:sz="4" w:space="0"/>
              <w:bottom w:val="single" w:color="auto" w:sz="4" w:space="0"/>
            </w:tcBorders>
            <w:vAlign w:val="bottom"/>
          </w:tcPr>
          <w:p w14:paraId="3E7889FF">
            <w:pPr>
              <w:spacing w:after="0" w:line="400" w:lineRule="exact"/>
              <w:rPr>
                <w:rFonts w:hint="eastAsia" w:ascii="仿宋" w:hAnsi="仿宋" w:eastAsia="仿宋" w:cs="仿宋"/>
                <w:sz w:val="24"/>
              </w:rPr>
            </w:pPr>
          </w:p>
        </w:tc>
      </w:tr>
    </w:tbl>
    <w:p w14:paraId="4EC69E2B">
      <w:pPr>
        <w:spacing w:after="0" w:line="400" w:lineRule="exact"/>
        <w:rPr>
          <w:rFonts w:hint="eastAsia" w:ascii="仿宋" w:hAnsi="仿宋" w:eastAsia="仿宋" w:cs="仿宋"/>
          <w:sz w:val="24"/>
        </w:rPr>
      </w:pPr>
    </w:p>
    <w:p w14:paraId="34AEB967">
      <w:pPr>
        <w:spacing w:after="0" w:line="360" w:lineRule="auto"/>
        <w:ind w:firstLine="480" w:firstLineChars="200"/>
        <w:rPr>
          <w:rFonts w:hint="eastAsia" w:ascii="仿宋" w:hAnsi="仿宋" w:eastAsia="仿宋" w:cs="仿宋"/>
          <w:szCs w:val="21"/>
        </w:rPr>
      </w:pPr>
      <w:r>
        <w:rPr>
          <w:rFonts w:hint="eastAsia" w:ascii="仿宋" w:hAnsi="仿宋" w:eastAsia="仿宋" w:cs="仿宋"/>
          <w:sz w:val="24"/>
        </w:rPr>
        <w:br w:type="page"/>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r>
        <w:rPr>
          <w:rFonts w:hint="eastAsia" w:ascii="仿宋" w:hAnsi="仿宋" w:eastAsia="仿宋" w:cs="仿宋"/>
          <w:szCs w:val="21"/>
        </w:rPr>
        <w:t>，</w:t>
      </w:r>
      <w:r>
        <w:rPr>
          <w:rFonts w:hint="eastAsia" w:ascii="仿宋" w:hAnsi="仿宋" w:eastAsia="仿宋" w:cs="仿宋"/>
          <w:szCs w:val="21"/>
          <w:u w:val="single"/>
        </w:rPr>
        <w:t>（采购人名称）</w:t>
      </w:r>
      <w:r>
        <w:rPr>
          <w:rFonts w:hint="eastAsia" w:ascii="仿宋" w:hAnsi="仿宋" w:eastAsia="仿宋" w:cs="仿宋"/>
          <w:szCs w:val="21"/>
        </w:rPr>
        <w:t>以</w:t>
      </w:r>
      <w:r>
        <w:rPr>
          <w:rFonts w:hint="eastAsia" w:ascii="仿宋" w:hAnsi="仿宋" w:eastAsia="仿宋" w:cs="仿宋"/>
          <w:szCs w:val="21"/>
          <w:u w:val="single"/>
        </w:rPr>
        <w:t>（政府采购方式）</w:t>
      </w:r>
      <w:r>
        <w:rPr>
          <w:rFonts w:hint="eastAsia" w:ascii="仿宋" w:hAnsi="仿宋" w:eastAsia="仿宋" w:cs="仿宋"/>
          <w:szCs w:val="21"/>
        </w:rPr>
        <w:t>对</w:t>
      </w:r>
      <w:r>
        <w:rPr>
          <w:rFonts w:hint="eastAsia" w:ascii="仿宋" w:hAnsi="仿宋" w:eastAsia="仿宋" w:cs="仿宋"/>
          <w:szCs w:val="21"/>
          <w:u w:val="single"/>
        </w:rPr>
        <w:t>（同前页项目名称）</w:t>
      </w:r>
      <w:r>
        <w:rPr>
          <w:rFonts w:hint="eastAsia" w:ascii="仿宋" w:hAnsi="仿宋" w:eastAsia="仿宋" w:cs="仿宋"/>
          <w:szCs w:val="21"/>
        </w:rPr>
        <w:t>项目进行了采购。经</w:t>
      </w:r>
      <w:r>
        <w:rPr>
          <w:rFonts w:hint="eastAsia" w:ascii="仿宋" w:hAnsi="仿宋" w:eastAsia="仿宋" w:cs="仿宋"/>
          <w:szCs w:val="21"/>
          <w:u w:val="single"/>
        </w:rPr>
        <w:t>（相关评定主体名称）</w:t>
      </w:r>
      <w:r>
        <w:rPr>
          <w:rFonts w:hint="eastAsia" w:ascii="仿宋" w:hAnsi="仿宋" w:eastAsia="仿宋" w:cs="仿宋"/>
          <w:szCs w:val="21"/>
        </w:rPr>
        <w:t>评定，</w:t>
      </w:r>
      <w:r>
        <w:rPr>
          <w:rFonts w:hint="eastAsia" w:ascii="仿宋" w:hAnsi="仿宋" w:eastAsia="仿宋" w:cs="仿宋"/>
          <w:szCs w:val="21"/>
          <w:u w:val="single"/>
        </w:rPr>
        <w:t>（中标供应商名称）</w:t>
      </w:r>
      <w:r>
        <w:rPr>
          <w:rFonts w:hint="eastAsia" w:ascii="仿宋" w:hAnsi="仿宋" w:eastAsia="仿宋" w:cs="仿宋"/>
          <w:szCs w:val="21"/>
        </w:rPr>
        <w:t>为该项目中标供应商。现于中标通知书发出之日起三十日内，按照采购文件确定的事项签订本合同。</w:t>
      </w:r>
    </w:p>
    <w:p w14:paraId="2E0B7FD5">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根据《中华人民共和国民法典》、《中华人民共和国政府采购法》等相关法律法规规定，按照平等、自愿、公平和诚实信用的原则，经</w:t>
      </w:r>
      <w:r>
        <w:rPr>
          <w:rFonts w:hint="eastAsia" w:ascii="仿宋" w:hAnsi="仿宋" w:eastAsia="仿宋" w:cs="仿宋"/>
          <w:szCs w:val="21"/>
          <w:u w:val="single"/>
        </w:rPr>
        <w:t>（采购人名称）</w:t>
      </w:r>
      <w:r>
        <w:rPr>
          <w:rFonts w:hint="eastAsia" w:ascii="仿宋" w:hAnsi="仿宋" w:eastAsia="仿宋" w:cs="仿宋"/>
          <w:szCs w:val="21"/>
        </w:rPr>
        <w:t>(以下简称：甲方)和</w:t>
      </w:r>
      <w:r>
        <w:rPr>
          <w:rFonts w:hint="eastAsia" w:ascii="仿宋" w:hAnsi="仿宋" w:eastAsia="仿宋" w:cs="仿宋"/>
          <w:szCs w:val="21"/>
          <w:u w:val="single"/>
        </w:rPr>
        <w:t>（中标供应商名称）</w:t>
      </w:r>
      <w:r>
        <w:rPr>
          <w:rFonts w:hint="eastAsia" w:ascii="仿宋" w:hAnsi="仿宋" w:eastAsia="仿宋" w:cs="仿宋"/>
          <w:szCs w:val="21"/>
        </w:rPr>
        <w:t xml:space="preserve"> (以下简称：乙方)协商一致，约定以下合同条款，以兹共同遵守、全面履行。</w:t>
      </w:r>
    </w:p>
    <w:p w14:paraId="0A33D8F0">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1.1 合同组成部分</w:t>
      </w:r>
    </w:p>
    <w:p w14:paraId="02161867">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4B2D726">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1.1.1 本合同及其补充合同、变更协议；</w:t>
      </w:r>
    </w:p>
    <w:p w14:paraId="7BF49B54">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1.1.2 中标通知书；</w:t>
      </w:r>
    </w:p>
    <w:p w14:paraId="71F7E424">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1.1.3 投标文件（含澄清或者说明文件）；</w:t>
      </w:r>
    </w:p>
    <w:p w14:paraId="4DF83861">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1.1.4 招标文件（含澄清或者修改文件）；</w:t>
      </w:r>
    </w:p>
    <w:p w14:paraId="4697D274">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1.1.5 其他相关采购文件。</w:t>
      </w:r>
    </w:p>
    <w:p w14:paraId="49719796">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1.2 货物（服务）</w:t>
      </w:r>
    </w:p>
    <w:p w14:paraId="25D14177">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1.2.1 货物（服务）名称：；</w:t>
      </w:r>
    </w:p>
    <w:p w14:paraId="67C9424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1.2.2 货物（服务）数量：；</w:t>
      </w:r>
    </w:p>
    <w:p w14:paraId="2EFF9127">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1.2.3 货物（服务）质量：。</w:t>
      </w:r>
    </w:p>
    <w:p w14:paraId="1D706155">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1.3 价款</w:t>
      </w:r>
    </w:p>
    <w:p w14:paraId="7B52BD63">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本合同总价为：￥元（大写：元人民币）。</w:t>
      </w:r>
    </w:p>
    <w:p w14:paraId="3038720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分项价格：</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348B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007C5CEE">
            <w:pPr>
              <w:spacing w:after="0" w:line="360" w:lineRule="auto"/>
              <w:jc w:val="center"/>
              <w:rPr>
                <w:rFonts w:hint="eastAsia" w:ascii="仿宋" w:hAnsi="仿宋" w:eastAsia="仿宋" w:cs="仿宋"/>
                <w:szCs w:val="21"/>
              </w:rPr>
            </w:pPr>
            <w:r>
              <w:rPr>
                <w:rFonts w:hint="eastAsia" w:ascii="仿宋" w:hAnsi="仿宋" w:eastAsia="仿宋" w:cs="仿宋"/>
                <w:szCs w:val="21"/>
              </w:rPr>
              <w:t>序号</w:t>
            </w:r>
          </w:p>
        </w:tc>
        <w:tc>
          <w:tcPr>
            <w:tcW w:w="3402" w:type="dxa"/>
            <w:vAlign w:val="center"/>
          </w:tcPr>
          <w:p w14:paraId="3E05C1C5">
            <w:pPr>
              <w:spacing w:after="0" w:line="360" w:lineRule="auto"/>
              <w:ind w:firstLine="200"/>
              <w:jc w:val="center"/>
              <w:rPr>
                <w:rFonts w:hint="eastAsia" w:ascii="仿宋" w:hAnsi="仿宋" w:eastAsia="仿宋" w:cs="仿宋"/>
                <w:szCs w:val="21"/>
              </w:rPr>
            </w:pPr>
            <w:r>
              <w:rPr>
                <w:rFonts w:hint="eastAsia" w:ascii="仿宋" w:hAnsi="仿宋" w:eastAsia="仿宋" w:cs="仿宋"/>
                <w:szCs w:val="21"/>
              </w:rPr>
              <w:t>分项名称</w:t>
            </w:r>
          </w:p>
        </w:tc>
        <w:tc>
          <w:tcPr>
            <w:tcW w:w="2552" w:type="dxa"/>
            <w:vAlign w:val="center"/>
          </w:tcPr>
          <w:p w14:paraId="7DE77BF4">
            <w:pPr>
              <w:spacing w:after="0" w:line="360" w:lineRule="auto"/>
              <w:jc w:val="center"/>
              <w:rPr>
                <w:rFonts w:hint="eastAsia" w:ascii="仿宋" w:hAnsi="仿宋" w:eastAsia="仿宋" w:cs="仿宋"/>
                <w:szCs w:val="21"/>
              </w:rPr>
            </w:pPr>
            <w:r>
              <w:rPr>
                <w:rFonts w:hint="eastAsia" w:ascii="仿宋" w:hAnsi="仿宋" w:eastAsia="仿宋" w:cs="仿宋"/>
                <w:szCs w:val="21"/>
              </w:rPr>
              <w:t>分项价格</w:t>
            </w:r>
          </w:p>
        </w:tc>
      </w:tr>
      <w:tr w14:paraId="29BDF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D175379">
            <w:pPr>
              <w:spacing w:after="0" w:line="360" w:lineRule="auto"/>
              <w:ind w:firstLine="200"/>
              <w:jc w:val="center"/>
              <w:rPr>
                <w:rFonts w:hint="eastAsia" w:ascii="仿宋" w:hAnsi="仿宋" w:eastAsia="仿宋" w:cs="仿宋"/>
                <w:szCs w:val="21"/>
              </w:rPr>
            </w:pPr>
          </w:p>
        </w:tc>
        <w:tc>
          <w:tcPr>
            <w:tcW w:w="3402" w:type="dxa"/>
            <w:vAlign w:val="center"/>
          </w:tcPr>
          <w:p w14:paraId="62EA318E">
            <w:pPr>
              <w:spacing w:after="0" w:line="360" w:lineRule="auto"/>
              <w:ind w:firstLine="200"/>
              <w:jc w:val="center"/>
              <w:rPr>
                <w:rFonts w:hint="eastAsia" w:ascii="仿宋" w:hAnsi="仿宋" w:eastAsia="仿宋" w:cs="仿宋"/>
                <w:szCs w:val="21"/>
              </w:rPr>
            </w:pPr>
          </w:p>
        </w:tc>
        <w:tc>
          <w:tcPr>
            <w:tcW w:w="2552" w:type="dxa"/>
            <w:vAlign w:val="center"/>
          </w:tcPr>
          <w:p w14:paraId="4D7C044E">
            <w:pPr>
              <w:spacing w:after="0" w:line="360" w:lineRule="auto"/>
              <w:ind w:firstLine="200"/>
              <w:jc w:val="center"/>
              <w:rPr>
                <w:rFonts w:hint="eastAsia" w:ascii="仿宋" w:hAnsi="仿宋" w:eastAsia="仿宋" w:cs="仿宋"/>
                <w:szCs w:val="21"/>
              </w:rPr>
            </w:pPr>
          </w:p>
        </w:tc>
      </w:tr>
      <w:tr w14:paraId="6BEA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7CD0187">
            <w:pPr>
              <w:spacing w:after="0" w:line="360" w:lineRule="auto"/>
              <w:ind w:firstLine="200"/>
              <w:jc w:val="center"/>
              <w:rPr>
                <w:rFonts w:hint="eastAsia" w:ascii="仿宋" w:hAnsi="仿宋" w:eastAsia="仿宋" w:cs="仿宋"/>
                <w:szCs w:val="21"/>
              </w:rPr>
            </w:pPr>
          </w:p>
        </w:tc>
        <w:tc>
          <w:tcPr>
            <w:tcW w:w="3402" w:type="dxa"/>
            <w:vAlign w:val="center"/>
          </w:tcPr>
          <w:p w14:paraId="0EC086F1">
            <w:pPr>
              <w:spacing w:after="0" w:line="360" w:lineRule="auto"/>
              <w:ind w:firstLine="200"/>
              <w:jc w:val="center"/>
              <w:rPr>
                <w:rFonts w:hint="eastAsia" w:ascii="仿宋" w:hAnsi="仿宋" w:eastAsia="仿宋" w:cs="仿宋"/>
                <w:szCs w:val="21"/>
              </w:rPr>
            </w:pPr>
          </w:p>
        </w:tc>
        <w:tc>
          <w:tcPr>
            <w:tcW w:w="2552" w:type="dxa"/>
            <w:vAlign w:val="center"/>
          </w:tcPr>
          <w:p w14:paraId="0B057870">
            <w:pPr>
              <w:spacing w:after="0" w:line="360" w:lineRule="auto"/>
              <w:ind w:firstLine="200"/>
              <w:jc w:val="center"/>
              <w:rPr>
                <w:rFonts w:hint="eastAsia" w:ascii="仿宋" w:hAnsi="仿宋" w:eastAsia="仿宋" w:cs="仿宋"/>
                <w:szCs w:val="21"/>
              </w:rPr>
            </w:pPr>
          </w:p>
        </w:tc>
      </w:tr>
      <w:tr w14:paraId="439D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0CF20DFF">
            <w:pPr>
              <w:spacing w:after="0" w:line="360" w:lineRule="auto"/>
              <w:ind w:firstLine="200"/>
              <w:jc w:val="center"/>
              <w:rPr>
                <w:rFonts w:hint="eastAsia" w:ascii="仿宋" w:hAnsi="仿宋" w:eastAsia="仿宋" w:cs="仿宋"/>
                <w:szCs w:val="21"/>
              </w:rPr>
            </w:pPr>
          </w:p>
        </w:tc>
        <w:tc>
          <w:tcPr>
            <w:tcW w:w="3402" w:type="dxa"/>
            <w:vAlign w:val="center"/>
          </w:tcPr>
          <w:p w14:paraId="3D0F9CF8">
            <w:pPr>
              <w:spacing w:after="0" w:line="360" w:lineRule="auto"/>
              <w:ind w:firstLine="200"/>
              <w:jc w:val="center"/>
              <w:rPr>
                <w:rFonts w:hint="eastAsia" w:ascii="仿宋" w:hAnsi="仿宋" w:eastAsia="仿宋" w:cs="仿宋"/>
                <w:szCs w:val="21"/>
              </w:rPr>
            </w:pPr>
          </w:p>
        </w:tc>
        <w:tc>
          <w:tcPr>
            <w:tcW w:w="2552" w:type="dxa"/>
            <w:vAlign w:val="center"/>
          </w:tcPr>
          <w:p w14:paraId="1B05ABD0">
            <w:pPr>
              <w:spacing w:after="0" w:line="360" w:lineRule="auto"/>
              <w:ind w:firstLine="200"/>
              <w:jc w:val="center"/>
              <w:rPr>
                <w:rFonts w:hint="eastAsia" w:ascii="仿宋" w:hAnsi="仿宋" w:eastAsia="仿宋" w:cs="仿宋"/>
                <w:szCs w:val="21"/>
              </w:rPr>
            </w:pPr>
          </w:p>
        </w:tc>
      </w:tr>
      <w:tr w14:paraId="444F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201" w:type="dxa"/>
            <w:vAlign w:val="center"/>
          </w:tcPr>
          <w:p w14:paraId="7D5F6289">
            <w:pPr>
              <w:spacing w:after="0" w:line="360" w:lineRule="auto"/>
              <w:ind w:firstLine="200"/>
              <w:jc w:val="center"/>
              <w:rPr>
                <w:rFonts w:hint="eastAsia" w:ascii="仿宋" w:hAnsi="仿宋" w:eastAsia="仿宋" w:cs="仿宋"/>
                <w:szCs w:val="21"/>
              </w:rPr>
            </w:pPr>
          </w:p>
        </w:tc>
        <w:tc>
          <w:tcPr>
            <w:tcW w:w="3402" w:type="dxa"/>
            <w:vAlign w:val="center"/>
          </w:tcPr>
          <w:p w14:paraId="4F54281E">
            <w:pPr>
              <w:spacing w:after="0" w:line="360" w:lineRule="auto"/>
              <w:ind w:firstLine="200"/>
              <w:jc w:val="center"/>
              <w:rPr>
                <w:rFonts w:hint="eastAsia" w:ascii="仿宋" w:hAnsi="仿宋" w:eastAsia="仿宋" w:cs="仿宋"/>
                <w:szCs w:val="21"/>
              </w:rPr>
            </w:pPr>
          </w:p>
        </w:tc>
        <w:tc>
          <w:tcPr>
            <w:tcW w:w="2552" w:type="dxa"/>
            <w:vAlign w:val="center"/>
          </w:tcPr>
          <w:p w14:paraId="6A93D499">
            <w:pPr>
              <w:spacing w:after="0" w:line="360" w:lineRule="auto"/>
              <w:ind w:firstLine="200"/>
              <w:jc w:val="center"/>
              <w:rPr>
                <w:rFonts w:hint="eastAsia" w:ascii="仿宋" w:hAnsi="仿宋" w:eastAsia="仿宋" w:cs="仿宋"/>
                <w:szCs w:val="21"/>
              </w:rPr>
            </w:pPr>
          </w:p>
        </w:tc>
      </w:tr>
      <w:tr w14:paraId="1ED28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464F87FB">
            <w:pPr>
              <w:spacing w:after="0" w:line="360" w:lineRule="auto"/>
              <w:ind w:firstLine="200"/>
              <w:jc w:val="center"/>
              <w:rPr>
                <w:rFonts w:hint="eastAsia" w:ascii="仿宋" w:hAnsi="仿宋" w:eastAsia="仿宋" w:cs="仿宋"/>
                <w:szCs w:val="21"/>
              </w:rPr>
            </w:pPr>
            <w:r>
              <w:rPr>
                <w:rFonts w:hint="eastAsia" w:ascii="仿宋" w:hAnsi="仿宋" w:eastAsia="仿宋" w:cs="仿宋"/>
                <w:szCs w:val="21"/>
              </w:rPr>
              <w:t>总价</w:t>
            </w:r>
          </w:p>
        </w:tc>
        <w:tc>
          <w:tcPr>
            <w:tcW w:w="2552" w:type="dxa"/>
            <w:vAlign w:val="center"/>
          </w:tcPr>
          <w:p w14:paraId="74208671">
            <w:pPr>
              <w:spacing w:after="0" w:line="360" w:lineRule="auto"/>
              <w:ind w:firstLine="200"/>
              <w:jc w:val="center"/>
              <w:rPr>
                <w:rFonts w:hint="eastAsia" w:ascii="仿宋" w:hAnsi="仿宋" w:eastAsia="仿宋" w:cs="仿宋"/>
                <w:szCs w:val="21"/>
              </w:rPr>
            </w:pPr>
          </w:p>
        </w:tc>
      </w:tr>
    </w:tbl>
    <w:p w14:paraId="0E0D7936">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1.4 付款方式和发票开具方式</w:t>
      </w:r>
    </w:p>
    <w:p w14:paraId="35EFD18D">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1.4.1 付款方式</w:t>
      </w:r>
      <w:r>
        <w:rPr>
          <w:rFonts w:hint="eastAsia" w:ascii="仿宋" w:hAnsi="仿宋" w:eastAsia="仿宋" w:cs="仿宋"/>
          <w:szCs w:val="21"/>
          <w:u w:val="single"/>
        </w:rPr>
        <w:t xml:space="preserve">：            </w:t>
      </w:r>
      <w:r>
        <w:rPr>
          <w:rFonts w:hint="eastAsia" w:ascii="仿宋" w:hAnsi="仿宋" w:eastAsia="仿宋" w:cs="仿宋"/>
          <w:szCs w:val="21"/>
        </w:rPr>
        <w:t>；</w:t>
      </w:r>
      <w:r>
        <w:rPr>
          <w:rFonts w:hint="eastAsia" w:ascii="仿宋" w:hAnsi="仿宋" w:eastAsia="仿宋" w:cs="仿宋"/>
          <w:szCs w:val="21"/>
          <w:u w:val="single"/>
        </w:rPr>
        <w:t xml:space="preserve"> </w:t>
      </w:r>
    </w:p>
    <w:p w14:paraId="4C46EC42">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1.4.2 发票开具方式：</w:t>
      </w:r>
      <w:r>
        <w:rPr>
          <w:rFonts w:hint="eastAsia" w:ascii="仿宋" w:hAnsi="仿宋" w:eastAsia="仿宋" w:cs="仿宋"/>
          <w:szCs w:val="21"/>
          <w:u w:val="single"/>
        </w:rPr>
        <w:t xml:space="preserve">           </w:t>
      </w:r>
      <w:r>
        <w:rPr>
          <w:rFonts w:hint="eastAsia" w:ascii="仿宋" w:hAnsi="仿宋" w:eastAsia="仿宋" w:cs="仿宋"/>
          <w:szCs w:val="21"/>
        </w:rPr>
        <w:t>。</w:t>
      </w:r>
    </w:p>
    <w:p w14:paraId="57E2783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1.5 货物（服务）交付期限、地点和方式</w:t>
      </w:r>
    </w:p>
    <w:p w14:paraId="262BBB51">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1.5.1 交付期限：</w:t>
      </w:r>
      <w:r>
        <w:rPr>
          <w:rFonts w:hint="eastAsia" w:ascii="仿宋" w:hAnsi="仿宋" w:eastAsia="仿宋" w:cs="仿宋"/>
          <w:szCs w:val="21"/>
          <w:u w:val="single"/>
        </w:rPr>
        <w:t xml:space="preserve">           </w:t>
      </w:r>
      <w:r>
        <w:rPr>
          <w:rFonts w:hint="eastAsia" w:ascii="仿宋" w:hAnsi="仿宋" w:eastAsia="仿宋" w:cs="仿宋"/>
          <w:szCs w:val="21"/>
        </w:rPr>
        <w:t>；</w:t>
      </w:r>
    </w:p>
    <w:p w14:paraId="76BDCF44">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1.5.2 交付地点：</w:t>
      </w:r>
      <w:r>
        <w:rPr>
          <w:rFonts w:hint="eastAsia" w:ascii="仿宋" w:hAnsi="仿宋" w:eastAsia="仿宋" w:cs="仿宋"/>
          <w:szCs w:val="21"/>
          <w:u w:val="single"/>
        </w:rPr>
        <w:t xml:space="preserve">           </w:t>
      </w:r>
      <w:r>
        <w:rPr>
          <w:rFonts w:hint="eastAsia" w:ascii="仿宋" w:hAnsi="仿宋" w:eastAsia="仿宋" w:cs="仿宋"/>
          <w:szCs w:val="21"/>
        </w:rPr>
        <w:t>；</w:t>
      </w:r>
    </w:p>
    <w:p w14:paraId="6AC5506C">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1.5.3 交付方式：</w:t>
      </w:r>
      <w:r>
        <w:rPr>
          <w:rFonts w:hint="eastAsia" w:ascii="仿宋" w:hAnsi="仿宋" w:eastAsia="仿宋" w:cs="仿宋"/>
          <w:szCs w:val="21"/>
          <w:u w:val="single"/>
        </w:rPr>
        <w:t xml:space="preserve">           </w:t>
      </w:r>
      <w:r>
        <w:rPr>
          <w:rFonts w:hint="eastAsia" w:ascii="仿宋" w:hAnsi="仿宋" w:eastAsia="仿宋" w:cs="仿宋"/>
          <w:szCs w:val="21"/>
        </w:rPr>
        <w:t>。</w:t>
      </w:r>
    </w:p>
    <w:p w14:paraId="2EAB2EA7">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1.6 违约责任</w:t>
      </w:r>
    </w:p>
    <w:p w14:paraId="78299A66">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1.6.1除不可抗力外，如果乙方没有按照本合同约定的期限、地点和方式交付货物（服务），那么甲方可要求乙方支付违约金，违约金按每迟延交付货物（服务）一日的应交付而未交付货物（服务）价格的%计算，最高限额为本合同总价的%；迟延交付货物（服务）的违约金计算数额达到前述最高限额之日起，甲方有权在要求乙方支付违约金的同时，书面通知乙方解除本合同；</w:t>
      </w:r>
    </w:p>
    <w:p w14:paraId="6F15442C">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1.6.2除不可抗力外，如果甲方没有按照本合同约定的付款方式付款，那么乙方可要求甲方支付违约金，违约金按每迟延付款一日的应付而未付款的 %计算，最高限额为本合同总价的 %；迟延付款的违约金计算数额达到前述最高限额之日起，乙方有权在要求甲方支付违约金的同时，书面通知甲方解除本合同；</w:t>
      </w:r>
    </w:p>
    <w:p w14:paraId="1DE53569">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D3EC67F">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C51EFAB">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E6464F1">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1.6.6如果出现政府采购监督管理部门在处理投诉事项期间，书面通知甲方暂停采购活动的情形，或者询问或质疑事项可能影响中标结果的，导致甲方中止履行合同的情形，均不视为甲方违约。</w:t>
      </w:r>
    </w:p>
    <w:p w14:paraId="0C8121BC">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1.7 合同争议的解决</w:t>
      </w:r>
    </w:p>
    <w:p w14:paraId="50F7D4E8">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本合同履行过程中发生的任何争议，双方当事人均可通过和解或者调解解决；不愿和解、调解或者和解、调解不成的，可以选择下列第种方式解决：</w:t>
      </w:r>
    </w:p>
    <w:p w14:paraId="4EAF972E">
      <w:pPr>
        <w:spacing w:after="0" w:line="360" w:lineRule="auto"/>
        <w:rPr>
          <w:rFonts w:hint="eastAsia" w:ascii="仿宋" w:hAnsi="仿宋" w:eastAsia="仿宋" w:cs="仿宋"/>
          <w:szCs w:val="21"/>
        </w:rPr>
      </w:pPr>
      <w:r>
        <w:rPr>
          <w:rFonts w:hint="eastAsia" w:ascii="仿宋" w:hAnsi="仿宋" w:eastAsia="仿宋" w:cs="仿宋"/>
          <w:szCs w:val="21"/>
        </w:rPr>
        <w:t>1.7.1将争议提交仲裁委员会依申请仲裁时其现行有效的仲裁规则裁决；</w:t>
      </w:r>
    </w:p>
    <w:p w14:paraId="4147A3D1">
      <w:pPr>
        <w:spacing w:after="0" w:line="360" w:lineRule="auto"/>
        <w:rPr>
          <w:rFonts w:hint="eastAsia" w:ascii="仿宋" w:hAnsi="仿宋" w:eastAsia="仿宋" w:cs="仿宋"/>
          <w:szCs w:val="21"/>
        </w:rPr>
      </w:pPr>
      <w:r>
        <w:rPr>
          <w:rFonts w:hint="eastAsia" w:ascii="仿宋" w:hAnsi="仿宋" w:eastAsia="仿宋" w:cs="仿宋"/>
          <w:szCs w:val="21"/>
        </w:rPr>
        <w:t>1.7.2向</w:t>
      </w:r>
      <w:r>
        <w:rPr>
          <w:rFonts w:hint="eastAsia" w:ascii="仿宋" w:hAnsi="仿宋" w:eastAsia="仿宋" w:cs="仿宋"/>
          <w:szCs w:val="21"/>
          <w:u w:val="single"/>
        </w:rPr>
        <w:t>（被告住所地、合同履行地、合同签订地、原告住所地、标的物所在地等与争议有实际联系的地点中选出的人民法院名称）</w:t>
      </w:r>
      <w:r>
        <w:rPr>
          <w:rFonts w:hint="eastAsia" w:ascii="仿宋" w:hAnsi="仿宋" w:eastAsia="仿宋" w:cs="仿宋"/>
          <w:szCs w:val="21"/>
        </w:rPr>
        <w:t>人民法院起诉。</w:t>
      </w:r>
    </w:p>
    <w:p w14:paraId="7464562D">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1.8 合同生效</w:t>
      </w:r>
    </w:p>
    <w:p w14:paraId="484AE09A">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本合同自双方当事人盖章或者签字时生效。</w:t>
      </w:r>
    </w:p>
    <w:p w14:paraId="7B974F48">
      <w:pPr>
        <w:spacing w:after="0" w:line="360" w:lineRule="auto"/>
        <w:rPr>
          <w:rFonts w:hint="eastAsia" w:ascii="仿宋" w:hAnsi="仿宋" w:eastAsia="仿宋" w:cs="仿宋"/>
          <w:szCs w:val="21"/>
        </w:rPr>
      </w:pPr>
      <w:r>
        <w:rPr>
          <w:rFonts w:hint="eastAsia" w:ascii="仿宋" w:hAnsi="仿宋" w:eastAsia="仿宋" w:cs="仿宋"/>
          <w:szCs w:val="21"/>
        </w:rPr>
        <w:t>甲方：                                                乙方：</w:t>
      </w:r>
    </w:p>
    <w:p w14:paraId="76C9671A">
      <w:pPr>
        <w:spacing w:after="0" w:line="360" w:lineRule="auto"/>
        <w:rPr>
          <w:rFonts w:hint="eastAsia" w:ascii="仿宋" w:hAnsi="仿宋" w:eastAsia="仿宋" w:cs="仿宋"/>
          <w:szCs w:val="21"/>
        </w:rPr>
      </w:pPr>
      <w:r>
        <w:rPr>
          <w:rFonts w:hint="eastAsia" w:ascii="仿宋" w:hAnsi="仿宋" w:eastAsia="仿宋" w:cs="仿宋"/>
          <w:szCs w:val="21"/>
        </w:rPr>
        <w:t>统一社会信用代码：            统一社会信用代码或身份证号码：</w:t>
      </w:r>
    </w:p>
    <w:p w14:paraId="27854AA8">
      <w:pPr>
        <w:spacing w:after="0" w:line="360" w:lineRule="auto"/>
        <w:rPr>
          <w:rFonts w:hint="eastAsia" w:ascii="仿宋" w:hAnsi="仿宋" w:eastAsia="仿宋" w:cs="仿宋"/>
          <w:szCs w:val="21"/>
        </w:rPr>
      </w:pPr>
      <w:r>
        <w:rPr>
          <w:rFonts w:hint="eastAsia" w:ascii="仿宋" w:hAnsi="仿宋" w:eastAsia="仿宋" w:cs="仿宋"/>
          <w:szCs w:val="21"/>
        </w:rPr>
        <w:t>住所：                                                住所：</w:t>
      </w:r>
    </w:p>
    <w:p w14:paraId="3F8DCC66">
      <w:pPr>
        <w:spacing w:after="0" w:line="360" w:lineRule="auto"/>
        <w:rPr>
          <w:rFonts w:hint="eastAsia" w:ascii="仿宋" w:hAnsi="仿宋" w:eastAsia="仿宋" w:cs="仿宋"/>
          <w:szCs w:val="21"/>
        </w:rPr>
      </w:pPr>
      <w:r>
        <w:rPr>
          <w:rFonts w:hint="eastAsia" w:ascii="仿宋" w:hAnsi="仿宋" w:eastAsia="仿宋" w:cs="仿宋"/>
          <w:szCs w:val="21"/>
        </w:rPr>
        <w:t xml:space="preserve">法定代表人或法定代表人授权代表（签字）：法定代表人或法定代表人授权代表（签字）： </w:t>
      </w:r>
    </w:p>
    <w:p w14:paraId="3DE735D4">
      <w:pPr>
        <w:spacing w:after="0" w:line="360" w:lineRule="auto"/>
        <w:rPr>
          <w:rFonts w:hint="eastAsia" w:ascii="仿宋" w:hAnsi="仿宋" w:eastAsia="仿宋" w:cs="仿宋"/>
          <w:szCs w:val="21"/>
        </w:rPr>
      </w:pPr>
      <w:r>
        <w:rPr>
          <w:rFonts w:hint="eastAsia" w:ascii="仿宋" w:hAnsi="仿宋" w:eastAsia="仿宋" w:cs="仿宋"/>
          <w:szCs w:val="21"/>
        </w:rPr>
        <w:t>联系人：                                            联系人：</w:t>
      </w:r>
    </w:p>
    <w:p w14:paraId="6A08D882">
      <w:pPr>
        <w:spacing w:after="0" w:line="360" w:lineRule="auto"/>
        <w:rPr>
          <w:rFonts w:hint="eastAsia" w:ascii="仿宋" w:hAnsi="仿宋" w:eastAsia="仿宋" w:cs="仿宋"/>
          <w:szCs w:val="21"/>
        </w:rPr>
      </w:pPr>
      <w:r>
        <w:rPr>
          <w:rFonts w:hint="eastAsia" w:ascii="仿宋" w:hAnsi="仿宋" w:eastAsia="仿宋" w:cs="仿宋"/>
          <w:szCs w:val="21"/>
        </w:rPr>
        <w:t>约定送达地址：                                约定送达地址：</w:t>
      </w:r>
    </w:p>
    <w:p w14:paraId="7066F2E7">
      <w:pPr>
        <w:spacing w:after="0" w:line="360" w:lineRule="auto"/>
        <w:rPr>
          <w:rFonts w:hint="eastAsia" w:ascii="仿宋" w:hAnsi="仿宋" w:eastAsia="仿宋" w:cs="仿宋"/>
          <w:szCs w:val="21"/>
        </w:rPr>
      </w:pPr>
      <w:r>
        <w:rPr>
          <w:rFonts w:hint="eastAsia" w:ascii="仿宋" w:hAnsi="仿宋" w:eastAsia="仿宋" w:cs="仿宋"/>
          <w:szCs w:val="21"/>
        </w:rPr>
        <w:t>邮政编码：                                        邮政编码：</w:t>
      </w:r>
    </w:p>
    <w:p w14:paraId="3881758A">
      <w:pPr>
        <w:spacing w:after="0" w:line="360" w:lineRule="auto"/>
        <w:rPr>
          <w:rFonts w:hint="eastAsia" w:ascii="仿宋" w:hAnsi="仿宋" w:eastAsia="仿宋" w:cs="仿宋"/>
          <w:szCs w:val="21"/>
        </w:rPr>
      </w:pPr>
      <w:r>
        <w:rPr>
          <w:rFonts w:hint="eastAsia" w:ascii="仿宋" w:hAnsi="仿宋" w:eastAsia="仿宋" w:cs="仿宋"/>
          <w:szCs w:val="21"/>
        </w:rPr>
        <w:t xml:space="preserve">电话:                                                 电话: </w:t>
      </w:r>
    </w:p>
    <w:p w14:paraId="5986FF14">
      <w:pPr>
        <w:spacing w:after="0" w:line="360" w:lineRule="auto"/>
        <w:rPr>
          <w:rFonts w:hint="eastAsia" w:ascii="仿宋" w:hAnsi="仿宋" w:eastAsia="仿宋" w:cs="仿宋"/>
          <w:szCs w:val="21"/>
        </w:rPr>
      </w:pPr>
      <w:r>
        <w:rPr>
          <w:rFonts w:hint="eastAsia" w:ascii="仿宋" w:hAnsi="仿宋" w:eastAsia="仿宋" w:cs="仿宋"/>
          <w:szCs w:val="21"/>
        </w:rPr>
        <w:t>传真:                                                 传真:</w:t>
      </w:r>
    </w:p>
    <w:p w14:paraId="2AF49B34">
      <w:pPr>
        <w:spacing w:after="0" w:line="360" w:lineRule="auto"/>
        <w:rPr>
          <w:rFonts w:hint="eastAsia" w:ascii="仿宋" w:hAnsi="仿宋" w:eastAsia="仿宋" w:cs="仿宋"/>
          <w:szCs w:val="21"/>
        </w:rPr>
      </w:pPr>
      <w:r>
        <w:rPr>
          <w:rFonts w:hint="eastAsia" w:ascii="仿宋" w:hAnsi="仿宋" w:eastAsia="仿宋" w:cs="仿宋"/>
          <w:szCs w:val="21"/>
        </w:rPr>
        <w:t>电子邮箱：                                        电子邮箱：</w:t>
      </w:r>
    </w:p>
    <w:p w14:paraId="04F2D3D0">
      <w:pPr>
        <w:spacing w:after="0" w:line="360" w:lineRule="auto"/>
        <w:rPr>
          <w:rFonts w:hint="eastAsia" w:ascii="仿宋" w:hAnsi="仿宋" w:eastAsia="仿宋" w:cs="仿宋"/>
          <w:szCs w:val="21"/>
        </w:rPr>
      </w:pPr>
      <w:r>
        <w:rPr>
          <w:rFonts w:hint="eastAsia" w:ascii="仿宋" w:hAnsi="仿宋" w:eastAsia="仿宋" w:cs="仿宋"/>
          <w:szCs w:val="21"/>
        </w:rPr>
        <w:t>开户银行：                                        开户银行：</w:t>
      </w:r>
    </w:p>
    <w:p w14:paraId="72B495B2">
      <w:pPr>
        <w:spacing w:after="0" w:line="360" w:lineRule="auto"/>
        <w:rPr>
          <w:rFonts w:hint="eastAsia" w:ascii="仿宋" w:hAnsi="仿宋" w:eastAsia="仿宋" w:cs="仿宋"/>
          <w:szCs w:val="21"/>
        </w:rPr>
      </w:pPr>
      <w:r>
        <w:rPr>
          <w:rFonts w:hint="eastAsia" w:ascii="仿宋" w:hAnsi="仿宋" w:eastAsia="仿宋" w:cs="仿宋"/>
          <w:szCs w:val="21"/>
        </w:rPr>
        <w:t>开户名称：                                        开户名称：</w:t>
      </w:r>
    </w:p>
    <w:p w14:paraId="14DFC447">
      <w:pPr>
        <w:spacing w:after="0" w:line="360" w:lineRule="auto"/>
        <w:rPr>
          <w:rFonts w:hint="eastAsia" w:ascii="仿宋" w:hAnsi="仿宋" w:eastAsia="仿宋" w:cs="仿宋"/>
          <w:sz w:val="24"/>
        </w:rPr>
      </w:pPr>
      <w:r>
        <w:rPr>
          <w:rFonts w:hint="eastAsia" w:ascii="仿宋" w:hAnsi="仿宋" w:eastAsia="仿宋" w:cs="仿宋"/>
          <w:szCs w:val="21"/>
        </w:rPr>
        <w:t>开户账号：                                        开户账号：</w:t>
      </w:r>
    </w:p>
    <w:p w14:paraId="67799FF2">
      <w:pPr>
        <w:widowControl/>
        <w:spacing w:after="0" w:line="240" w:lineRule="auto"/>
        <w:jc w:val="left"/>
        <w:rPr>
          <w:rFonts w:hint="eastAsia" w:ascii="仿宋" w:hAnsi="仿宋" w:eastAsia="仿宋" w:cs="仿宋"/>
          <w:sz w:val="24"/>
        </w:rPr>
      </w:pPr>
      <w:r>
        <w:rPr>
          <w:rFonts w:hint="eastAsia" w:ascii="仿宋" w:hAnsi="仿宋" w:eastAsia="仿宋" w:cs="仿宋"/>
          <w:sz w:val="24"/>
        </w:rPr>
        <w:br w:type="page"/>
      </w:r>
    </w:p>
    <w:p w14:paraId="3FFA040B">
      <w:pPr>
        <w:keepNext/>
        <w:keepLines/>
        <w:spacing w:after="0" w:line="360" w:lineRule="auto"/>
        <w:jc w:val="center"/>
        <w:outlineLvl w:val="1"/>
        <w:rPr>
          <w:rFonts w:hint="eastAsia" w:ascii="仿宋" w:hAnsi="仿宋" w:eastAsia="仿宋" w:cs="仿宋"/>
          <w:b/>
          <w:bCs/>
          <w:sz w:val="30"/>
          <w:szCs w:val="46"/>
        </w:rPr>
      </w:pPr>
      <w:bookmarkStart w:id="668" w:name="_Toc75443046"/>
      <w:bookmarkStart w:id="669" w:name="_Toc32448"/>
      <w:bookmarkStart w:id="670" w:name="_Toc8970"/>
      <w:bookmarkStart w:id="671" w:name="_Toc8655"/>
      <w:bookmarkStart w:id="672" w:name="_Toc49590162"/>
      <w:r>
        <w:rPr>
          <w:rFonts w:hint="eastAsia" w:ascii="仿宋" w:hAnsi="仿宋" w:eastAsia="仿宋" w:cs="仿宋"/>
          <w:b/>
          <w:bCs/>
          <w:sz w:val="30"/>
          <w:szCs w:val="46"/>
        </w:rPr>
        <w:t>第二部分 合同一般条款</w:t>
      </w:r>
      <w:bookmarkEnd w:id="668"/>
      <w:bookmarkEnd w:id="669"/>
      <w:bookmarkEnd w:id="670"/>
      <w:bookmarkEnd w:id="671"/>
      <w:bookmarkEnd w:id="672"/>
    </w:p>
    <w:p w14:paraId="757A00DF">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 定义</w:t>
      </w:r>
    </w:p>
    <w:p w14:paraId="648053E9">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本合同中的下列词语应按以下内容进行解释：</w:t>
      </w:r>
    </w:p>
    <w:p w14:paraId="2A1FF6E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2.1.1 “合同”系指采购人和中标供应商签订的载明双方当事人所达成的协议，并包括所有的附件、附录和构成合同的其他文件。</w:t>
      </w:r>
    </w:p>
    <w:p w14:paraId="274EB21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2.1.2 “合同价”系指根据合同约定，中标供应商在完全履行合同义务后，采购人应支付给中标供应商的价格。</w:t>
      </w:r>
    </w:p>
    <w:p w14:paraId="1111DC9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2.1.3 “货物”系指中标供应商根据合同约定应向采购人交付的一切各种形态和种类的物品，包括原材料、燃料、设备、机械、仪表、备件、计算机软件、产品等，并包括工具、手册等其他相关资料。</w:t>
      </w:r>
    </w:p>
    <w:p w14:paraId="754953D7">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2.1.4 “甲方”系指与中标供应商签署合同的采购人；采购人委托采购代理机构代表其与乙方签订合同的，采购人的授权委托书作为合同附件。</w:t>
      </w:r>
    </w:p>
    <w:p w14:paraId="19225306">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2.1.5 “乙方”系指根据合同约定交付货物（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54D7C0A8">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2.1.6 “现场”系指合同约定货物将要运至或者安装的地点。</w:t>
      </w:r>
    </w:p>
    <w:p w14:paraId="7406BEB3">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2.2 技术规范</w:t>
      </w:r>
    </w:p>
    <w:p w14:paraId="41CED8C8">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货物（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375F3EF5">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2.3 知识产权</w:t>
      </w:r>
    </w:p>
    <w:p w14:paraId="5BFF0FB9">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2.3.1 乙方应保证甲方在使用该货物（服务）或其任何一部分时不受任何第三方提出的侵犯其著作权、商标权、专利权等知识产权方面的起诉；如果任何第三方提出侵权指控，那么乙方须与该第三方交涉并承担由此发生的一切责任、费用和赔偿；</w:t>
      </w:r>
    </w:p>
    <w:p w14:paraId="630B1A6D">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2.3.2具有知识产权的计算机软件等货物（服务）的知识产权归属，详见合同专用条款。</w:t>
      </w:r>
    </w:p>
    <w:p w14:paraId="3C01A8DB">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2.4 包装和装运</w:t>
      </w:r>
    </w:p>
    <w:p w14:paraId="26B7AA8F">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2.4.1除合同专用条款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6F16F0FC">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2.4.2 装运货物的要求和通知，详见合同专用条款。</w:t>
      </w:r>
    </w:p>
    <w:p w14:paraId="5E27E6DC">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2.5 履约检查和问题反馈</w:t>
      </w:r>
    </w:p>
    <w:p w14:paraId="3BD074B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2.5.1甲方有权在其认为必要时，对乙方是否能够按照合同约定交付货物（服务）进行履约检查，以确保乙方所交付的货物（服务）能够依约满足甲方之项目需求，但不得因履约检查妨碍乙方的正常工作，乙方应予积极配合；</w:t>
      </w:r>
    </w:p>
    <w:p w14:paraId="471B694D">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2.5.2 合同履行期间，甲方有权将履行过程中出现的问题反馈给乙方，双方当事人应以书面形式约定需要完善和改进的内容。</w:t>
      </w:r>
    </w:p>
    <w:p w14:paraId="01A3855E">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2.6 结算方式和付款条件</w:t>
      </w:r>
    </w:p>
    <w:p w14:paraId="79402B2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详见合同专用条款。</w:t>
      </w:r>
    </w:p>
    <w:p w14:paraId="2DC58138">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2.7 技术资料和保密义务</w:t>
      </w:r>
    </w:p>
    <w:p w14:paraId="0CFB09F4">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2.7.1 乙方有权依据合同约定和项目需要，向甲方了解有关情况，调阅有关资料等，甲方应予积极配合；</w:t>
      </w:r>
    </w:p>
    <w:p w14:paraId="15B9897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2.7.2 乙方有义务妥善保管和保护由甲方提供的前款信息和资料等；</w:t>
      </w:r>
    </w:p>
    <w:p w14:paraId="09DC74ED">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697E6CE1">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2.8 质量保证</w:t>
      </w:r>
    </w:p>
    <w:p w14:paraId="3223EA33">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2.8.1 乙方应建立和完善履行合同的内部质量保证体系，并提供相关内部规章制度给甲方，以便甲方进行监督检查；</w:t>
      </w:r>
    </w:p>
    <w:p w14:paraId="26DC8709">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2.8.2 乙方应保证履行合同的人员数量和素质、软件和硬件设备的配置、场地、环境和设施等满足全面履行合同的要求，并应接受甲方的监督检查。</w:t>
      </w:r>
    </w:p>
    <w:p w14:paraId="75353C4F">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2.9 货物（服务）的风险负担</w:t>
      </w:r>
    </w:p>
    <w:p w14:paraId="16578CF3">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货物或者在途货物或者交付给第一承运人后的货物毁损、灭失的风险负担详见合同专用条款。</w:t>
      </w:r>
    </w:p>
    <w:p w14:paraId="37C70FA2">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2.10 延迟交货</w:t>
      </w:r>
    </w:p>
    <w:p w14:paraId="6AAF8D05">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在合同履行过程中，如果乙方遇到不能按时交付货物（服务）的情况，应及时以书面形式将不能按时交付货物（服务）的理由、预期延误时间通知甲方；甲方收到乙方通知后，认为其理由正当的，可以书面形式酌情同意乙方可以延长交货的具体时间。</w:t>
      </w:r>
    </w:p>
    <w:p w14:paraId="6BC1EA7B">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2.11 合同变更</w:t>
      </w:r>
    </w:p>
    <w:p w14:paraId="094D5F95">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2.11.1双方当事人协商一致，可以签订书面补充合同的形式变更合同，但不得违背采购文件确定的事项，且如果系追加与合同标的相同的货物（服务）的，那么所有补充合同的采购金额不得超过原合同价的10%；</w:t>
      </w:r>
    </w:p>
    <w:p w14:paraId="78588402">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2.11.2 合同继续履行将损害国家利益和社会公共利益的，双方当事人应当以书面形式变更合同。有过错的一方应当承担赔偿责任，双方当事人都有过错的，各自承担相应的责任。</w:t>
      </w:r>
    </w:p>
    <w:p w14:paraId="76CD395C">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2.12 合同转让和分包</w:t>
      </w:r>
    </w:p>
    <w:p w14:paraId="3A1E6958">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BBC369A">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2.13 不可抗力</w:t>
      </w:r>
    </w:p>
    <w:p w14:paraId="3E877F6C">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2.13.1如果任何一方遭遇法律规定的不可抗力，致使合同履行受阻时，履行合同的期限应予延长，延长的期限应相当于不可抗力所影响的时间；</w:t>
      </w:r>
    </w:p>
    <w:p w14:paraId="6F302507">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2.13.2 因不可抗力致使不能实现合同目的的，当事人可以解除合同；</w:t>
      </w:r>
    </w:p>
    <w:p w14:paraId="250972BC">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2.13.3 因不可抗力致使合同有变更必要的，双方当事人应在合同专用条款约定时间内以书面形式变更合同；</w:t>
      </w:r>
    </w:p>
    <w:p w14:paraId="76834D11">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2.13.4受不可抗力影响的一方在不可抗力发生后，应在合同专用条款约定时间内以书面形式通知对方当事人，并在合同专用条款约定时间内，将有关部门出具的证明文件送达对方当事人。</w:t>
      </w:r>
    </w:p>
    <w:p w14:paraId="26307CEA">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2.14 税费</w:t>
      </w:r>
    </w:p>
    <w:p w14:paraId="2D34DAAD">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与合同有关的一切税费，均按照中华人民共和国法律的相关规定。</w:t>
      </w:r>
    </w:p>
    <w:p w14:paraId="5FB5E521">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2.15 乙方破产</w:t>
      </w:r>
    </w:p>
    <w:p w14:paraId="60240B5D">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1D4C999">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2.16 合同中止、终止</w:t>
      </w:r>
    </w:p>
    <w:p w14:paraId="3B46D21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2.16.1 双方当事人不得擅自中止或者终止合同；</w:t>
      </w:r>
    </w:p>
    <w:p w14:paraId="26F79314">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2.16.2合同继续履行将损害国家利益和社会公共利益的，双方当事人应当中止或者终止合同。有过错的一方应当承担赔偿责任，双方当事人都有过错的，各自承担相应的责任。</w:t>
      </w:r>
    </w:p>
    <w:p w14:paraId="02D2395D">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2.17 检验和验收</w:t>
      </w:r>
    </w:p>
    <w:p w14:paraId="55EF691E">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2.17.1货物（服务）交付前，乙方应对货物（服务）的质量、数量、服务等方面进行详细、全面的检验，并向甲方出具证明货物（服务）符合合同约定的文件；货物（服务）交付时，乙方在合同专用条款约定时间内组织验收，并可依法邀请相关方参加，验收应出具验收书。</w:t>
      </w:r>
    </w:p>
    <w:p w14:paraId="5CA096EA">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2.17.2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17CA78E2">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2.17.3 检验和验收标准、程序等具体内容以及前述验收书的效力详见合同专用条款。</w:t>
      </w:r>
    </w:p>
    <w:p w14:paraId="4D8C42D4">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2.18 通知和送达</w:t>
      </w:r>
    </w:p>
    <w:p w14:paraId="18EC98DB">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2.18.1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p>
    <w:p w14:paraId="47B0DB3B">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2.18.2以当面交付方式送达的，交付之时视为送达；以电子邮件方式送达的，发出电子邮件之时视为送达；以传真方式送达的，发出传真之时视为送达；以邮寄方式送达的，邮件挂号寄出或者交邮之日之次日视为送达。</w:t>
      </w:r>
    </w:p>
    <w:p w14:paraId="66D73FD2">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2.19 计量单位</w:t>
      </w:r>
    </w:p>
    <w:p w14:paraId="6AB84FE0">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除技术规范中另有规定外,合同的计量单位均使用国家法定计量单位。</w:t>
      </w:r>
    </w:p>
    <w:p w14:paraId="3BDD367E">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2.20 合同使用的文字和适用的法律</w:t>
      </w:r>
    </w:p>
    <w:p w14:paraId="30804BC1">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2.20.1 合同使用汉语书就、变更和解释；</w:t>
      </w:r>
    </w:p>
    <w:p w14:paraId="44E6E5A2">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2.20.2 合同适用中华人民共和国法律。</w:t>
      </w:r>
    </w:p>
    <w:p w14:paraId="69044C5E">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2.21 履约保证金</w:t>
      </w:r>
    </w:p>
    <w:p w14:paraId="64F2AE27">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2.21.1 采购文件要求乙方提交履约保证金的，乙方应按合同专用条款约定的方式，以支票、汇票、本票或者金融机构、担保机构出具的保函等非现金形式，提交不超过合同价10%的履约保证金；</w:t>
      </w:r>
    </w:p>
    <w:p w14:paraId="4D0FFF9C">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2.21.2  履约保证金在合同专用条款约定期间内或者货物（服务）质量保证期内不予退还或者应完全有效，前述约定期间届满或者货物（服务）质量保证期届满之日起个工作日内，甲方应将履约保证金退还乙方；</w:t>
      </w:r>
    </w:p>
    <w:p w14:paraId="79CDDDA8">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2.21.3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69BD7C00">
      <w:pPr>
        <w:spacing w:after="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2.22 合同份数</w:t>
      </w:r>
    </w:p>
    <w:p w14:paraId="254B0383">
      <w:pPr>
        <w:spacing w:after="0" w:line="360" w:lineRule="auto"/>
        <w:ind w:firstLine="420" w:firstLineChars="200"/>
        <w:rPr>
          <w:rFonts w:hint="eastAsia" w:ascii="仿宋" w:hAnsi="仿宋" w:eastAsia="仿宋" w:cs="仿宋"/>
          <w:sz w:val="24"/>
        </w:rPr>
      </w:pPr>
      <w:r>
        <w:rPr>
          <w:rFonts w:hint="eastAsia" w:ascii="仿宋" w:hAnsi="仿宋" w:eastAsia="仿宋" w:cs="仿宋"/>
          <w:szCs w:val="21"/>
        </w:rPr>
        <w:t>合同份数按合同专用条款规定，每份均具有同等法律效力。</w:t>
      </w:r>
    </w:p>
    <w:p w14:paraId="49D28790">
      <w:pPr>
        <w:widowControl/>
        <w:spacing w:after="0" w:line="240" w:lineRule="auto"/>
        <w:jc w:val="left"/>
        <w:rPr>
          <w:rFonts w:hint="eastAsia" w:ascii="仿宋" w:hAnsi="仿宋" w:eastAsia="仿宋" w:cs="仿宋"/>
          <w:sz w:val="24"/>
        </w:rPr>
      </w:pPr>
      <w:r>
        <w:rPr>
          <w:rFonts w:hint="eastAsia" w:ascii="仿宋" w:hAnsi="仿宋" w:eastAsia="仿宋" w:cs="仿宋"/>
          <w:sz w:val="24"/>
        </w:rPr>
        <w:br w:type="page"/>
      </w:r>
    </w:p>
    <w:p w14:paraId="2CA78A63">
      <w:pPr>
        <w:keepNext/>
        <w:keepLines/>
        <w:spacing w:after="0" w:line="360" w:lineRule="auto"/>
        <w:jc w:val="center"/>
        <w:outlineLvl w:val="1"/>
        <w:rPr>
          <w:rFonts w:hint="eastAsia" w:ascii="仿宋" w:hAnsi="仿宋" w:eastAsia="仿宋" w:cs="仿宋"/>
          <w:b/>
          <w:bCs/>
          <w:sz w:val="30"/>
          <w:szCs w:val="46"/>
        </w:rPr>
      </w:pPr>
      <w:bookmarkStart w:id="673" w:name="_Toc75443047"/>
      <w:bookmarkStart w:id="674" w:name="_Toc49590163"/>
      <w:bookmarkStart w:id="675" w:name="_Toc7788"/>
      <w:bookmarkStart w:id="676" w:name="_Toc16932"/>
      <w:bookmarkStart w:id="677" w:name="_Toc19029"/>
      <w:r>
        <w:rPr>
          <w:rFonts w:hint="eastAsia" w:ascii="仿宋" w:hAnsi="仿宋" w:eastAsia="仿宋" w:cs="仿宋"/>
          <w:b/>
          <w:bCs/>
          <w:sz w:val="30"/>
          <w:szCs w:val="46"/>
        </w:rPr>
        <w:t>第三部分 合同专用条款</w:t>
      </w:r>
      <w:bookmarkEnd w:id="673"/>
      <w:bookmarkEnd w:id="674"/>
      <w:bookmarkEnd w:id="675"/>
      <w:bookmarkEnd w:id="676"/>
      <w:bookmarkEnd w:id="677"/>
    </w:p>
    <w:p w14:paraId="3274C119">
      <w:pPr>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1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437"/>
        <w:gridCol w:w="6997"/>
      </w:tblGrid>
      <w:tr w14:paraId="4BAE6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1437" w:type="dxa"/>
            <w:tcBorders>
              <w:left w:val="single" w:color="auto" w:sz="4" w:space="0"/>
            </w:tcBorders>
            <w:vAlign w:val="center"/>
          </w:tcPr>
          <w:p w14:paraId="44209A59">
            <w:pPr>
              <w:spacing w:after="0" w:line="560" w:lineRule="exact"/>
              <w:jc w:val="center"/>
              <w:rPr>
                <w:rFonts w:hint="eastAsia" w:ascii="仿宋" w:hAnsi="仿宋" w:eastAsia="仿宋" w:cs="仿宋"/>
                <w:szCs w:val="21"/>
              </w:rPr>
            </w:pPr>
            <w:r>
              <w:rPr>
                <w:rFonts w:hint="eastAsia" w:ascii="仿宋" w:hAnsi="仿宋" w:eastAsia="仿宋" w:cs="仿宋"/>
                <w:szCs w:val="21"/>
              </w:rPr>
              <w:t>条款号</w:t>
            </w:r>
          </w:p>
        </w:tc>
        <w:tc>
          <w:tcPr>
            <w:tcW w:w="6997" w:type="dxa"/>
            <w:vAlign w:val="center"/>
          </w:tcPr>
          <w:p w14:paraId="31CE2000">
            <w:pPr>
              <w:spacing w:after="0" w:line="560" w:lineRule="exact"/>
              <w:jc w:val="center"/>
              <w:rPr>
                <w:rFonts w:hint="eastAsia" w:ascii="仿宋" w:hAnsi="仿宋" w:eastAsia="仿宋" w:cs="仿宋"/>
                <w:szCs w:val="21"/>
              </w:rPr>
            </w:pPr>
            <w:r>
              <w:rPr>
                <w:rFonts w:hint="eastAsia" w:ascii="仿宋" w:hAnsi="仿宋" w:eastAsia="仿宋" w:cs="仿宋"/>
                <w:szCs w:val="21"/>
              </w:rPr>
              <w:t>约定内容</w:t>
            </w:r>
          </w:p>
        </w:tc>
      </w:tr>
      <w:tr w14:paraId="74A58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1437" w:type="dxa"/>
            <w:tcBorders>
              <w:left w:val="single" w:color="auto" w:sz="4" w:space="0"/>
            </w:tcBorders>
            <w:vAlign w:val="center"/>
          </w:tcPr>
          <w:p w14:paraId="7CC1DE97">
            <w:pPr>
              <w:spacing w:after="0" w:line="560" w:lineRule="exact"/>
              <w:jc w:val="center"/>
              <w:rPr>
                <w:rFonts w:hint="eastAsia" w:ascii="仿宋" w:hAnsi="仿宋" w:eastAsia="仿宋" w:cs="仿宋"/>
                <w:szCs w:val="21"/>
              </w:rPr>
            </w:pPr>
          </w:p>
        </w:tc>
        <w:tc>
          <w:tcPr>
            <w:tcW w:w="6997" w:type="dxa"/>
            <w:vAlign w:val="center"/>
          </w:tcPr>
          <w:p w14:paraId="34853095">
            <w:pPr>
              <w:spacing w:after="0" w:line="560" w:lineRule="exact"/>
              <w:jc w:val="center"/>
              <w:rPr>
                <w:rFonts w:hint="eastAsia" w:ascii="仿宋" w:hAnsi="仿宋" w:eastAsia="仿宋" w:cs="仿宋"/>
                <w:szCs w:val="21"/>
              </w:rPr>
            </w:pPr>
          </w:p>
        </w:tc>
      </w:tr>
      <w:tr w14:paraId="30F00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437" w:type="dxa"/>
            <w:tcBorders>
              <w:left w:val="single" w:color="auto" w:sz="4" w:space="0"/>
            </w:tcBorders>
            <w:vAlign w:val="center"/>
          </w:tcPr>
          <w:p w14:paraId="0C9F3354">
            <w:pPr>
              <w:spacing w:after="0" w:line="560" w:lineRule="exact"/>
              <w:jc w:val="center"/>
              <w:rPr>
                <w:rFonts w:hint="eastAsia" w:ascii="仿宋" w:hAnsi="仿宋" w:eastAsia="仿宋" w:cs="仿宋"/>
                <w:szCs w:val="21"/>
              </w:rPr>
            </w:pPr>
          </w:p>
        </w:tc>
        <w:tc>
          <w:tcPr>
            <w:tcW w:w="6997" w:type="dxa"/>
            <w:vAlign w:val="center"/>
          </w:tcPr>
          <w:p w14:paraId="5280C41A">
            <w:pPr>
              <w:spacing w:after="0" w:line="560" w:lineRule="exact"/>
              <w:jc w:val="center"/>
              <w:rPr>
                <w:rFonts w:hint="eastAsia" w:ascii="仿宋" w:hAnsi="仿宋" w:eastAsia="仿宋" w:cs="仿宋"/>
                <w:szCs w:val="21"/>
              </w:rPr>
            </w:pPr>
          </w:p>
        </w:tc>
      </w:tr>
      <w:tr w14:paraId="4A446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437" w:type="dxa"/>
            <w:tcBorders>
              <w:left w:val="single" w:color="auto" w:sz="4" w:space="0"/>
            </w:tcBorders>
            <w:vAlign w:val="center"/>
          </w:tcPr>
          <w:p w14:paraId="0377051D">
            <w:pPr>
              <w:spacing w:after="0" w:line="560" w:lineRule="exact"/>
              <w:jc w:val="center"/>
              <w:rPr>
                <w:rFonts w:hint="eastAsia" w:ascii="仿宋" w:hAnsi="仿宋" w:eastAsia="仿宋" w:cs="仿宋"/>
                <w:szCs w:val="21"/>
              </w:rPr>
            </w:pPr>
          </w:p>
        </w:tc>
        <w:tc>
          <w:tcPr>
            <w:tcW w:w="6997" w:type="dxa"/>
            <w:vAlign w:val="center"/>
          </w:tcPr>
          <w:p w14:paraId="080BDDB0">
            <w:pPr>
              <w:spacing w:after="0" w:line="560" w:lineRule="exact"/>
              <w:jc w:val="center"/>
              <w:rPr>
                <w:rFonts w:hint="eastAsia" w:ascii="仿宋" w:hAnsi="仿宋" w:eastAsia="仿宋" w:cs="仿宋"/>
                <w:szCs w:val="21"/>
              </w:rPr>
            </w:pPr>
          </w:p>
        </w:tc>
      </w:tr>
      <w:tr w14:paraId="1D778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437" w:type="dxa"/>
            <w:tcBorders>
              <w:left w:val="single" w:color="auto" w:sz="4" w:space="0"/>
            </w:tcBorders>
            <w:vAlign w:val="center"/>
          </w:tcPr>
          <w:p w14:paraId="3E07043F">
            <w:pPr>
              <w:spacing w:after="0" w:line="560" w:lineRule="exact"/>
              <w:jc w:val="center"/>
              <w:rPr>
                <w:rFonts w:hint="eastAsia" w:ascii="仿宋" w:hAnsi="仿宋" w:eastAsia="仿宋" w:cs="仿宋"/>
                <w:szCs w:val="21"/>
              </w:rPr>
            </w:pPr>
          </w:p>
        </w:tc>
        <w:tc>
          <w:tcPr>
            <w:tcW w:w="6997" w:type="dxa"/>
            <w:vAlign w:val="center"/>
          </w:tcPr>
          <w:p w14:paraId="2E3AB67C">
            <w:pPr>
              <w:spacing w:after="0" w:line="560" w:lineRule="exact"/>
              <w:jc w:val="center"/>
              <w:rPr>
                <w:rFonts w:hint="eastAsia" w:ascii="仿宋" w:hAnsi="仿宋" w:eastAsia="仿宋" w:cs="仿宋"/>
                <w:szCs w:val="21"/>
              </w:rPr>
            </w:pPr>
          </w:p>
        </w:tc>
      </w:tr>
      <w:tr w14:paraId="4C2A4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37" w:type="dxa"/>
            <w:tcBorders>
              <w:left w:val="single" w:color="auto" w:sz="4" w:space="0"/>
            </w:tcBorders>
            <w:vAlign w:val="center"/>
          </w:tcPr>
          <w:p w14:paraId="0D481EF2">
            <w:pPr>
              <w:spacing w:after="0" w:line="560" w:lineRule="exact"/>
              <w:jc w:val="center"/>
              <w:rPr>
                <w:rFonts w:hint="eastAsia" w:ascii="仿宋" w:hAnsi="仿宋" w:eastAsia="仿宋" w:cs="仿宋"/>
                <w:szCs w:val="21"/>
              </w:rPr>
            </w:pPr>
          </w:p>
        </w:tc>
        <w:tc>
          <w:tcPr>
            <w:tcW w:w="6997" w:type="dxa"/>
            <w:vAlign w:val="center"/>
          </w:tcPr>
          <w:p w14:paraId="22D7CEEE">
            <w:pPr>
              <w:spacing w:after="0" w:line="560" w:lineRule="exact"/>
              <w:jc w:val="center"/>
              <w:rPr>
                <w:rFonts w:hint="eastAsia" w:ascii="仿宋" w:hAnsi="仿宋" w:eastAsia="仿宋" w:cs="仿宋"/>
                <w:szCs w:val="21"/>
              </w:rPr>
            </w:pPr>
          </w:p>
        </w:tc>
      </w:tr>
      <w:tr w14:paraId="2BE0E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37" w:type="dxa"/>
            <w:tcBorders>
              <w:left w:val="single" w:color="auto" w:sz="4" w:space="0"/>
            </w:tcBorders>
            <w:vAlign w:val="center"/>
          </w:tcPr>
          <w:p w14:paraId="0E4A5F7F">
            <w:pPr>
              <w:spacing w:after="0" w:line="560" w:lineRule="exact"/>
              <w:jc w:val="center"/>
              <w:rPr>
                <w:rFonts w:hint="eastAsia" w:ascii="仿宋" w:hAnsi="仿宋" w:eastAsia="仿宋" w:cs="仿宋"/>
                <w:szCs w:val="21"/>
              </w:rPr>
            </w:pPr>
          </w:p>
        </w:tc>
        <w:tc>
          <w:tcPr>
            <w:tcW w:w="6997" w:type="dxa"/>
            <w:vAlign w:val="center"/>
          </w:tcPr>
          <w:p w14:paraId="563E376B">
            <w:pPr>
              <w:spacing w:after="0" w:line="560" w:lineRule="exact"/>
              <w:jc w:val="center"/>
              <w:rPr>
                <w:rFonts w:hint="eastAsia" w:ascii="仿宋" w:hAnsi="仿宋" w:eastAsia="仿宋" w:cs="仿宋"/>
                <w:szCs w:val="21"/>
              </w:rPr>
            </w:pPr>
          </w:p>
        </w:tc>
      </w:tr>
      <w:tr w14:paraId="7225D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437" w:type="dxa"/>
            <w:tcBorders>
              <w:left w:val="single" w:color="auto" w:sz="4" w:space="0"/>
            </w:tcBorders>
            <w:vAlign w:val="center"/>
          </w:tcPr>
          <w:p w14:paraId="6EA8E9A3">
            <w:pPr>
              <w:spacing w:after="0" w:line="560" w:lineRule="exact"/>
              <w:jc w:val="center"/>
              <w:rPr>
                <w:rFonts w:hint="eastAsia" w:ascii="仿宋" w:hAnsi="仿宋" w:eastAsia="仿宋" w:cs="仿宋"/>
                <w:szCs w:val="21"/>
              </w:rPr>
            </w:pPr>
          </w:p>
        </w:tc>
        <w:tc>
          <w:tcPr>
            <w:tcW w:w="6997" w:type="dxa"/>
            <w:vAlign w:val="center"/>
          </w:tcPr>
          <w:p w14:paraId="61180933">
            <w:pPr>
              <w:spacing w:after="0" w:line="560" w:lineRule="exact"/>
              <w:jc w:val="center"/>
              <w:rPr>
                <w:rFonts w:hint="eastAsia" w:ascii="仿宋" w:hAnsi="仿宋" w:eastAsia="仿宋" w:cs="仿宋"/>
                <w:szCs w:val="21"/>
              </w:rPr>
            </w:pPr>
          </w:p>
        </w:tc>
      </w:tr>
      <w:tr w14:paraId="7002A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4" w:hRule="atLeast"/>
        </w:trPr>
        <w:tc>
          <w:tcPr>
            <w:tcW w:w="1437" w:type="dxa"/>
            <w:tcBorders>
              <w:left w:val="single" w:color="auto" w:sz="4" w:space="0"/>
            </w:tcBorders>
            <w:vAlign w:val="center"/>
          </w:tcPr>
          <w:p w14:paraId="30542156">
            <w:pPr>
              <w:spacing w:after="0" w:line="560" w:lineRule="exact"/>
              <w:jc w:val="center"/>
              <w:rPr>
                <w:rFonts w:hint="eastAsia" w:ascii="仿宋" w:hAnsi="仿宋" w:eastAsia="仿宋" w:cs="仿宋"/>
                <w:szCs w:val="21"/>
              </w:rPr>
            </w:pPr>
          </w:p>
        </w:tc>
        <w:tc>
          <w:tcPr>
            <w:tcW w:w="6997" w:type="dxa"/>
            <w:vAlign w:val="center"/>
          </w:tcPr>
          <w:p w14:paraId="268FA6E7">
            <w:pPr>
              <w:spacing w:after="0" w:line="560" w:lineRule="exact"/>
              <w:jc w:val="center"/>
              <w:rPr>
                <w:rFonts w:hint="eastAsia" w:ascii="仿宋" w:hAnsi="仿宋" w:eastAsia="仿宋" w:cs="仿宋"/>
                <w:szCs w:val="21"/>
              </w:rPr>
            </w:pPr>
          </w:p>
        </w:tc>
      </w:tr>
      <w:tr w14:paraId="13D52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37" w:type="dxa"/>
            <w:tcBorders>
              <w:left w:val="single" w:color="auto" w:sz="4" w:space="0"/>
            </w:tcBorders>
            <w:vAlign w:val="center"/>
          </w:tcPr>
          <w:p w14:paraId="3150445B">
            <w:pPr>
              <w:spacing w:after="0" w:line="560" w:lineRule="exact"/>
              <w:jc w:val="center"/>
              <w:rPr>
                <w:rFonts w:hint="eastAsia" w:ascii="仿宋" w:hAnsi="仿宋" w:eastAsia="仿宋" w:cs="仿宋"/>
                <w:szCs w:val="21"/>
              </w:rPr>
            </w:pPr>
          </w:p>
        </w:tc>
        <w:tc>
          <w:tcPr>
            <w:tcW w:w="6997" w:type="dxa"/>
            <w:vAlign w:val="center"/>
          </w:tcPr>
          <w:p w14:paraId="6F5B122D">
            <w:pPr>
              <w:spacing w:after="0" w:line="560" w:lineRule="exact"/>
              <w:jc w:val="center"/>
              <w:rPr>
                <w:rFonts w:hint="eastAsia" w:ascii="仿宋" w:hAnsi="仿宋" w:eastAsia="仿宋" w:cs="仿宋"/>
                <w:szCs w:val="21"/>
              </w:rPr>
            </w:pPr>
          </w:p>
        </w:tc>
      </w:tr>
      <w:tr w14:paraId="3C9AD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37" w:type="dxa"/>
            <w:tcBorders>
              <w:left w:val="single" w:color="auto" w:sz="4" w:space="0"/>
            </w:tcBorders>
            <w:vAlign w:val="center"/>
          </w:tcPr>
          <w:p w14:paraId="745C2849">
            <w:pPr>
              <w:spacing w:after="0" w:line="560" w:lineRule="exact"/>
              <w:jc w:val="center"/>
              <w:rPr>
                <w:rFonts w:hint="eastAsia" w:ascii="仿宋" w:hAnsi="仿宋" w:eastAsia="仿宋" w:cs="仿宋"/>
                <w:szCs w:val="21"/>
              </w:rPr>
            </w:pPr>
          </w:p>
        </w:tc>
        <w:tc>
          <w:tcPr>
            <w:tcW w:w="6997" w:type="dxa"/>
            <w:vAlign w:val="center"/>
          </w:tcPr>
          <w:p w14:paraId="0E826CF6">
            <w:pPr>
              <w:spacing w:after="0" w:line="560" w:lineRule="exact"/>
              <w:jc w:val="center"/>
              <w:rPr>
                <w:rFonts w:hint="eastAsia" w:ascii="仿宋" w:hAnsi="仿宋" w:eastAsia="仿宋" w:cs="仿宋"/>
                <w:szCs w:val="21"/>
              </w:rPr>
            </w:pPr>
          </w:p>
        </w:tc>
      </w:tr>
      <w:tr w14:paraId="38FFD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37" w:type="dxa"/>
            <w:tcBorders>
              <w:left w:val="single" w:color="auto" w:sz="4" w:space="0"/>
            </w:tcBorders>
            <w:vAlign w:val="center"/>
          </w:tcPr>
          <w:p w14:paraId="1B43BA0A">
            <w:pPr>
              <w:spacing w:after="0" w:line="560" w:lineRule="exact"/>
              <w:jc w:val="center"/>
              <w:rPr>
                <w:rFonts w:hint="eastAsia" w:ascii="仿宋" w:hAnsi="仿宋" w:eastAsia="仿宋" w:cs="仿宋"/>
                <w:szCs w:val="21"/>
              </w:rPr>
            </w:pPr>
          </w:p>
        </w:tc>
        <w:tc>
          <w:tcPr>
            <w:tcW w:w="6997" w:type="dxa"/>
            <w:vAlign w:val="center"/>
          </w:tcPr>
          <w:p w14:paraId="1044C32A">
            <w:pPr>
              <w:spacing w:after="0" w:line="560" w:lineRule="exact"/>
              <w:jc w:val="center"/>
              <w:rPr>
                <w:rFonts w:hint="eastAsia" w:ascii="仿宋" w:hAnsi="仿宋" w:eastAsia="仿宋" w:cs="仿宋"/>
                <w:szCs w:val="21"/>
              </w:rPr>
            </w:pPr>
          </w:p>
        </w:tc>
      </w:tr>
      <w:tr w14:paraId="38F19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37" w:type="dxa"/>
            <w:tcBorders>
              <w:left w:val="single" w:color="auto" w:sz="4" w:space="0"/>
            </w:tcBorders>
            <w:vAlign w:val="center"/>
          </w:tcPr>
          <w:p w14:paraId="4A163AB3">
            <w:pPr>
              <w:spacing w:after="0" w:line="560" w:lineRule="exact"/>
              <w:jc w:val="center"/>
              <w:rPr>
                <w:rFonts w:hint="eastAsia" w:ascii="仿宋" w:hAnsi="仿宋" w:eastAsia="仿宋" w:cs="仿宋"/>
                <w:szCs w:val="21"/>
              </w:rPr>
            </w:pPr>
          </w:p>
        </w:tc>
        <w:tc>
          <w:tcPr>
            <w:tcW w:w="6997" w:type="dxa"/>
            <w:vAlign w:val="center"/>
          </w:tcPr>
          <w:p w14:paraId="51D6CFE0">
            <w:pPr>
              <w:spacing w:after="0" w:line="560" w:lineRule="exact"/>
              <w:jc w:val="center"/>
              <w:rPr>
                <w:rFonts w:hint="eastAsia" w:ascii="仿宋" w:hAnsi="仿宋" w:eastAsia="仿宋" w:cs="仿宋"/>
                <w:szCs w:val="21"/>
              </w:rPr>
            </w:pPr>
          </w:p>
        </w:tc>
      </w:tr>
    </w:tbl>
    <w:p w14:paraId="286C345C">
      <w:pPr>
        <w:spacing w:after="0" w:line="400" w:lineRule="exact"/>
        <w:rPr>
          <w:rFonts w:hint="eastAsia" w:ascii="仿宋" w:hAnsi="仿宋" w:eastAsia="仿宋" w:cs="仿宋"/>
          <w:szCs w:val="21"/>
        </w:rPr>
      </w:pPr>
    </w:p>
    <w:p w14:paraId="5A2183F6">
      <w:pPr>
        <w:widowControl/>
        <w:spacing w:after="0"/>
        <w:rPr>
          <w:rFonts w:hint="eastAsia" w:ascii="仿宋" w:hAnsi="仿宋" w:eastAsia="仿宋" w:cs="仿宋"/>
          <w:kern w:val="0"/>
          <w:sz w:val="24"/>
          <w:szCs w:val="20"/>
        </w:rPr>
      </w:pPr>
    </w:p>
    <w:p w14:paraId="52D06CB4">
      <w:pPr>
        <w:spacing w:after="0" w:line="360" w:lineRule="auto"/>
        <w:rPr>
          <w:rFonts w:hint="eastAsia" w:ascii="仿宋" w:hAnsi="仿宋" w:eastAsia="仿宋" w:cs="仿宋"/>
          <w:sz w:val="24"/>
          <w:lang w:eastAsia="zh-TW"/>
        </w:rPr>
      </w:pPr>
    </w:p>
    <w:p w14:paraId="20E7044B">
      <w:pPr>
        <w:adjustRightInd w:val="0"/>
        <w:snapToGrid w:val="0"/>
        <w:spacing w:after="0" w:line="240" w:lineRule="auto"/>
        <w:ind w:firstLine="480" w:firstLineChars="200"/>
        <w:textAlignment w:val="center"/>
        <w:rPr>
          <w:rFonts w:hint="eastAsia" w:ascii="仿宋" w:hAnsi="仿宋" w:eastAsia="仿宋" w:cs="仿宋"/>
          <w:sz w:val="24"/>
          <w:szCs w:val="28"/>
          <w:u w:val="single"/>
        </w:rPr>
      </w:pPr>
      <w:r>
        <w:rPr>
          <w:rFonts w:hint="eastAsia" w:ascii="仿宋" w:hAnsi="仿宋" w:eastAsia="仿宋" w:cs="仿宋"/>
          <w:sz w:val="24"/>
          <w:szCs w:val="28"/>
          <w:u w:val="single"/>
        </w:rPr>
        <w:t xml:space="preserve">     </w:t>
      </w:r>
    </w:p>
    <w:p w14:paraId="599C6EFC">
      <w:pPr>
        <w:keepNext/>
        <w:keepLines/>
        <w:widowControl/>
        <w:spacing w:after="0" w:line="360" w:lineRule="auto"/>
        <w:jc w:val="left"/>
        <w:rPr>
          <w:rFonts w:hint="eastAsia" w:ascii="仿宋" w:hAnsi="仿宋" w:eastAsia="仿宋" w:cs="仿宋"/>
          <w:b/>
          <w:bCs/>
          <w:kern w:val="0"/>
          <w:szCs w:val="21"/>
        </w:rPr>
      </w:pPr>
    </w:p>
    <w:p w14:paraId="615AAD29">
      <w:pPr>
        <w:pStyle w:val="11"/>
        <w:spacing w:after="0"/>
        <w:rPr>
          <w:rFonts w:hint="eastAsia" w:ascii="仿宋" w:hAnsi="仿宋" w:eastAsia="仿宋" w:cs="仿宋"/>
        </w:rPr>
      </w:pPr>
    </w:p>
    <w:p w14:paraId="6EB1E225">
      <w:pPr>
        <w:pStyle w:val="19"/>
        <w:pageBreakBefore/>
        <w:spacing w:before="0" w:after="0" w:line="360" w:lineRule="auto"/>
        <w:rPr>
          <w:rFonts w:hint="eastAsia" w:ascii="仿宋" w:hAnsi="仿宋" w:eastAsia="仿宋" w:cs="仿宋"/>
          <w:b/>
          <w:bCs w:val="0"/>
          <w:kern w:val="0"/>
          <w:sz w:val="32"/>
          <w:szCs w:val="32"/>
        </w:rPr>
        <w:sectPr>
          <w:headerReference r:id="rId12" w:type="default"/>
          <w:footerReference r:id="rId13" w:type="default"/>
          <w:pgSz w:w="11906" w:h="16838"/>
          <w:pgMar w:top="1440" w:right="1800" w:bottom="1440" w:left="1800" w:header="851" w:footer="992" w:gutter="0"/>
          <w:cols w:space="720" w:num="1"/>
          <w:docGrid w:type="lines" w:linePitch="312" w:charSpace="0"/>
        </w:sectPr>
      </w:pPr>
    </w:p>
    <w:bookmarkEnd w:id="658"/>
    <w:bookmarkEnd w:id="659"/>
    <w:bookmarkEnd w:id="660"/>
    <w:bookmarkEnd w:id="661"/>
    <w:bookmarkEnd w:id="662"/>
    <w:p w14:paraId="08B68686">
      <w:pPr>
        <w:pStyle w:val="24"/>
        <w:numPr>
          <w:ilvl w:val="0"/>
          <w:numId w:val="11"/>
        </w:numPr>
        <w:jc w:val="center"/>
        <w:rPr>
          <w:rFonts w:hint="default" w:ascii="仿宋" w:hAnsi="仿宋" w:eastAsia="仿宋" w:cs="仿宋"/>
          <w:color w:val="auto"/>
          <w:kern w:val="0"/>
          <w:lang w:val="en-US" w:eastAsia="zh-CN"/>
        </w:rPr>
      </w:pPr>
      <w:bookmarkStart w:id="678" w:name="_Toc5434"/>
      <w:bookmarkStart w:id="679" w:name="_Toc227057960"/>
      <w:bookmarkStart w:id="680" w:name="_Toc447265600"/>
      <w:bookmarkStart w:id="681" w:name="_Toc107822571"/>
      <w:bookmarkStart w:id="682" w:name="_Toc226969354"/>
      <w:bookmarkStart w:id="683" w:name="_Toc447265314"/>
      <w:r>
        <w:rPr>
          <w:rFonts w:hint="eastAsia" w:ascii="仿宋" w:hAnsi="仿宋" w:eastAsia="仿宋" w:cs="仿宋"/>
          <w:color w:val="auto"/>
          <w:kern w:val="0"/>
          <w:lang w:val="en-US" w:eastAsia="zh-CN"/>
        </w:rPr>
        <w:t>服务需求</w:t>
      </w:r>
      <w:bookmarkEnd w:id="678"/>
    </w:p>
    <w:p w14:paraId="61CA1D52">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一、参照标准</w:t>
      </w:r>
    </w:p>
    <w:p w14:paraId="3E9BE9AB">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生态环境部《关于发布县域生物多样性调查与评估技术规定的公告》(公告2017年第84号)为主要技术依据，包括《县域陆生高等植物多样性调查与评估技术规定》《县域植被多样性调查与评估技术规定》《县域陆生哺乳动物多样性调查与评估技术规定》《县域鸟类多样性调查与评估技术规定》《县域两栖类和爬行类多样性调查与评估技术规定》《县域昆虫多样性调查与评估技术规定》《县域大型真菌多样性调查与评估技术规定》《县域生物多样性相关传统知识调查与评估技术规定》《内陆鱼类多样性调查与评估技术规定》《内陆浮游生物多样性调查与评估技术规定》《内陆大型底栖无脊椎动物多样性调查与评估技术规定》《内陆周丛藻类多样性调查与评估技术规定》等12项技术规定。提交的物种名录参照《中国生物物种名录》(2025版及以上版本)执行。</w:t>
      </w:r>
    </w:p>
    <w:p w14:paraId="48228CF4">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二、工作对象</w:t>
      </w:r>
    </w:p>
    <w:p w14:paraId="6234433A">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陆生高等植物多样性、植被多样性、陆生哺乳动物多样性、鸟类多样性、两栖类和爬行类多样性、昆虫多样性、大型真菌多样性、生物多样性相关传统知识、内陆鱼类生物多样性、内陆浮游生物多样性、内陆大型底栖无脊椎动物多样性、内陆周丛藻类多样性等12个类群。在此基础上，将高寒草甸/草原、高寒湿地、冰缘/雪线过渡带等特殊生境以及高原特有种、旗舰物种、极小种群作为调查重点。</w:t>
      </w:r>
    </w:p>
    <w:p w14:paraId="16895C0A">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三、调查方法和技术路线</w:t>
      </w:r>
    </w:p>
    <w:p w14:paraId="4A02ACD2">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1、网格化布设。采用10kmX10km网格体系，根据区域重要性和代表性将网格划分为重点网格与一般网格。重点网格优先覆盖国家公园候选区、自然保护区、重要湿地、主要江河源区、珍稀濒危物种集中分布区以及交通开发活动较强区域;对于高海拔、无人区、边境和交通不便区域，可在确保科学代表性的前提下，采用“固定样线+重点补点+遥感核查”的组合方式进行调查，避免机械平均布点。</w:t>
      </w:r>
    </w:p>
    <w:p w14:paraId="0555D87D">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2、调查方法体系。以样线法和样方法调查为基础，综合运用多种技术手段协同开展，形成地面调查、遥感监测、分子鉴定互为补充的调查技术体系。生态系统类型采用遥感解译与地面验证相结合的方法;陆生哺乳动物及地栖鸟类采用红外相机监测为主、样线法为辅的方式;鸟类、两栖类可结合声纹识别技术进行辅助调查;内陆水域生物类群(鱼类、浮游生物、大型底栖无脊椎动物、周丛藻类)采用环境DNA检测与常规采样鉴定相结合的方法。</w:t>
      </w:r>
    </w:p>
    <w:p w14:paraId="0B7AB006">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3、分区差异化调查。针对不同生境类型和地理特征，制定差异化的调查策略，确保调查工作覆盖全面、重点突出、技术适用。高寒草甸/草原区以样线调查为主，重点掌握有蹄类、啮齿类及关键植物群落分布;高寒湿地区域加密布设样点，重点调查水鸟、两栖类及水生生物;森林生态系统采用样带与红外相机结合，重点关注林栖哺乳动物、鸟类及林下植物;无人区及边境区域以遥感监测为主，结合无人机航拍和少量地面核查，重点掌握生态系统类型及大型野生动物分布;冰缘/雪线过渡带等特殊生境视情设置临时样线，开展专项补充调查。</w:t>
      </w:r>
    </w:p>
    <w:p w14:paraId="76A0EC5A">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四、工作任务</w:t>
      </w:r>
    </w:p>
    <w:p w14:paraId="4F9A11AD">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(一)本底调查工作</w:t>
      </w:r>
    </w:p>
    <w:p w14:paraId="793B352D">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1、制定调查实施方案。各地(市)、县(区、市)应系统梳理相关部门已开展的工作及成果，精准分析本行政区生物多样性调查的重点领域、关键环节及存在空缺。在此基础上，由各县(区、市)编制本行政区《生物多样性调查实施方案》，明确调查范围、技术路线、工作措施及任务分工。各地(市)统一协调自治区生物多样性保护专家委员会对辖区内各县(区、市)调查实施方案进行审核，通过后方可实施。</w:t>
      </w:r>
    </w:p>
    <w:p w14:paraId="1E431115">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2、做好前期准备工作。各地(市)、县(区、市)需精准把握本行政区调查工作的核心需求，足额安排调查工作资金预算，择优遴选专业技术团队承担调查任务。建立健全部门沟通协调机制，为承担单位开展调查提供必要的工作保障。建立统一规范的质量管理体系和工作机制，加强安全教育和风险防范，制定完善的安全应急预案。</w:t>
      </w:r>
    </w:p>
    <w:p w14:paraId="440ECF79">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3、规范调查过程管理。承担调查任务的专业技术团队应严格按照经审核后的实施方案及《关于发布县域生物多样性调查与评估技术规定的公告》(公告2017年第84号)中相关类群标准要求，规范开展野外调查，如实获取调查数据。建立健全调查工作调度和全过程管理机制，加强质量保障与控制工作的监督检查，确保调查数据真实、完整、可靠。</w:t>
      </w:r>
    </w:p>
    <w:p w14:paraId="4D7E7CA8">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4、严格验收与成果汇交。各县(区、市)负责将成果材料报送至所在地(市)进行汇总。各地(市)统一协调自治区生物多样性保护专家委员会对辖区内各县(区、市)年度调查成果进行最终审核验收，对验收不合格的，责成相关单位限期补充完善。</w:t>
      </w:r>
    </w:p>
    <w:p w14:paraId="2933CB4E">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(二)物种编目工作。</w:t>
      </w:r>
    </w:p>
    <w:p w14:paraId="442DE47C">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各县(区、市)完成本底调查后，应及时整理形成规范的物种名录(Excel表格)。名录内容应包含完整的基本分类阶元(门、纲、目、科、属、种)，规范使用中文名与学名，标注濒危等级、保护等级、特有情况以及数据来源(调查实测、历史资料等)。各地(市)统一协调自治区生物多样性保护专家委员会对辖区内各县(区、市)提交的物种名录进行审核，确保数据准确、格式统一。自治区生态环境厅聘请专业技术单位，在各地(市)审核基础上，组织开展全区物种名录的汇总、校核与编目工作，形成覆盖全区的首轮物种编目成果，并纳入自治区生物多样性数据库统一管理。</w:t>
      </w:r>
    </w:p>
    <w:p w14:paraId="126EEA6B">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五、责任分工</w:t>
      </w:r>
    </w:p>
    <w:p w14:paraId="5C23C17E">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1、各县(区、市)作为本行政区域调查工作的责任主体和具体实施主体，负责调查工作的全过程管理与落地执行，具体包括:落实调查工作所需资金，为调查承担单位提供必要的工作和生活保障;依法依规组织开展项目招投标，择优确定调查承担单位;组织制定本行政区调查实施方案;统筹协调各部门协力推进调查评估工作，加强调查过程的日常监督管理，做好外业调查的安全保障与现场协调;对本行政区调查成果进行初审。</w:t>
      </w:r>
    </w:p>
    <w:p w14:paraId="0064FA38">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2、调查承担单位作为调查工作的技术实施主体，严格依据实施方案和相关技术规定开展野外调查、样品采集与数据整理。对调查数据的真实性、准确性和完整性负责，按要求产出调查编目成果，主动配合各级各部门开展成果审核与质量检查。协助开展基层技术人员业务培训，做好调查资料归档与成果移交工作。</w:t>
      </w:r>
    </w:p>
    <w:p w14:paraId="09A4CD22">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六、成果要求</w:t>
      </w:r>
    </w:p>
    <w:p w14:paraId="6B3921A3">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一)成果报告。成果报告包括工作报告和技术报告。工作报告应系统反映调查工作组织实施情况，主要内容包括:工作目标、工作内容、考核指标及完成情况、主要成果、主要结论、经费执行情况等。技术报告应全面阐述调查技术方法与结果，主要内容包括:区域概况、前期调查基础、调查方案、调查结果与分析评价、结论与建议等。两份报告均须规范编制封面、目录、致谢、参考文献及附录。</w:t>
      </w:r>
    </w:p>
    <w:p w14:paraId="2670FC13">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二)成果数据。成果数据应完整、准确、规范，主要包括:物种分布数据、物种名录、重点物种清单;重点生态系统和重点物种分布图;原始调查数据(含影像、音频、调查轨迹);标本与影像凭证档案;调查过程文档(含调查日志、原始记录归档材料)。所有数据须按统一标准进行规范化处理，汇交至自治区生物多样性数据库。</w:t>
      </w:r>
    </w:p>
    <w:p w14:paraId="1B04210C">
      <w:pPr>
        <w:pStyle w:val="24"/>
        <w:numPr>
          <w:ilvl w:val="0"/>
          <w:numId w:val="0"/>
        </w:numPr>
        <w:ind w:firstLine="420" w:firstLineChars="200"/>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三)专题图集和视频集。专题图集应系统整理生境照片和物种照片，清晰反映调查区域生态景观和物种特征。影像资料应包括物种生态视频、调查工作纪实视频及红外相机监测视频，客观记录野外调查过程和物种活动情况。图片与影像资料应标注拍摄时间、地点、物种名称及拍摄人等信息，确保可追溯、可核查。</w:t>
      </w:r>
    </w:p>
    <w:p w14:paraId="680C858A">
      <w:pPr>
        <w:pStyle w:val="24"/>
        <w:numPr>
          <w:ilvl w:val="0"/>
          <w:numId w:val="0"/>
        </w:numPr>
        <w:jc w:val="both"/>
        <w:outlineLvl w:val="9"/>
        <w:rPr>
          <w:rFonts w:hint="default" w:ascii="仿宋" w:hAnsi="仿宋" w:eastAsia="仿宋" w:cs="仿宋"/>
          <w:b w:val="0"/>
          <w:bCs w:val="0"/>
          <w:color w:val="auto"/>
          <w:kern w:val="0"/>
          <w:sz w:val="21"/>
          <w:szCs w:val="21"/>
          <w:lang w:val="en-US" w:eastAsia="zh-CN"/>
        </w:rPr>
      </w:pPr>
      <w:r>
        <w:rPr>
          <w:rFonts w:hint="default" w:ascii="仿宋" w:hAnsi="仿宋" w:eastAsia="仿宋" w:cs="仿宋"/>
          <w:b w:val="0"/>
          <w:bCs w:val="0"/>
          <w:color w:val="auto"/>
          <w:kern w:val="0"/>
          <w:sz w:val="21"/>
          <w:szCs w:val="21"/>
          <w:lang w:val="en-US" w:eastAsia="zh-CN"/>
        </w:rPr>
        <w:t>七、质量审核</w:t>
      </w:r>
    </w:p>
    <w:p w14:paraId="5E8BDCC2">
      <w:pPr>
        <w:pStyle w:val="24"/>
        <w:numPr>
          <w:ilvl w:val="0"/>
          <w:numId w:val="0"/>
        </w:numPr>
        <w:ind w:firstLine="420" w:firstLineChars="200"/>
        <w:jc w:val="both"/>
        <w:outlineLvl w:val="9"/>
        <w:rPr>
          <w:rFonts w:hint="default" w:ascii="仿宋" w:hAnsi="仿宋" w:eastAsia="仿宋" w:cs="仿宋"/>
          <w:b w:val="0"/>
          <w:bCs w:val="0"/>
          <w:color w:val="auto"/>
          <w:kern w:val="0"/>
          <w:lang w:val="en-US" w:eastAsia="zh-CN"/>
        </w:rPr>
      </w:pPr>
      <w:r>
        <w:rPr>
          <w:rFonts w:hint="default" w:ascii="仿宋" w:hAnsi="仿宋" w:eastAsia="仿宋" w:cs="仿宋"/>
          <w:b w:val="0"/>
          <w:bCs w:val="0"/>
          <w:color w:val="auto"/>
          <w:kern w:val="0"/>
          <w:sz w:val="21"/>
          <w:szCs w:val="21"/>
          <w:lang w:val="en-US" w:eastAsia="zh-CN"/>
        </w:rPr>
        <w:t>建立健全自治区、地(市)、县(区)三级质量审核制度，对调查全过程及数据、标本、报告成果进行真实性、准确性、完整性、规范性审核，确保成果科学可靠、符合技术规范，满足项目验收与管理应用要求。前期重点抓好实施方案评审和技术培训，统一调查标准与方法;过程中强化中期检查与随机抽查，及时发现问题并督促整改;数据控制环节严格落实原始数据留痕要求，确保数据来源清晰、可溯;建立全流程追溯机制，对调查样线、样点及标本影像等关键信息实行唯一标识管理，实现调查工作可回溯、责任可追究。</w:t>
      </w:r>
    </w:p>
    <w:p w14:paraId="141486ED">
      <w:pPr>
        <w:pStyle w:val="24"/>
        <w:numPr>
          <w:ilvl w:val="0"/>
          <w:numId w:val="0"/>
        </w:numPr>
        <w:jc w:val="both"/>
        <w:rPr>
          <w:rFonts w:hint="default" w:ascii="仿宋" w:hAnsi="仿宋" w:eastAsia="仿宋" w:cs="仿宋"/>
          <w:color w:val="0000FF"/>
          <w:kern w:val="0"/>
          <w:lang w:val="en-US" w:eastAsia="zh-CN"/>
        </w:rPr>
      </w:pPr>
    </w:p>
    <w:p w14:paraId="5A347122">
      <w:pPr>
        <w:jc w:val="center"/>
        <w:rPr>
          <w:rFonts w:hint="eastAsia" w:ascii="仿宋" w:hAnsi="仿宋" w:eastAsia="仿宋" w:cs="仿宋"/>
          <w:b/>
          <w:bCs/>
        </w:rPr>
      </w:pPr>
    </w:p>
    <w:bookmarkEnd w:id="679"/>
    <w:bookmarkEnd w:id="680"/>
    <w:bookmarkEnd w:id="681"/>
    <w:bookmarkEnd w:id="682"/>
    <w:bookmarkEnd w:id="683"/>
    <w:p w14:paraId="28E50CD4">
      <w:pPr>
        <w:pStyle w:val="19"/>
        <w:pageBreakBefore/>
        <w:spacing w:before="0" w:after="0" w:line="360" w:lineRule="auto"/>
        <w:rPr>
          <w:rFonts w:hint="eastAsia" w:ascii="仿宋" w:hAnsi="仿宋" w:eastAsia="仿宋" w:cs="仿宋"/>
          <w:b/>
          <w:bCs w:val="0"/>
          <w:sz w:val="52"/>
          <w:szCs w:val="52"/>
        </w:rPr>
      </w:pPr>
      <w:bookmarkStart w:id="684" w:name="_Toc31610"/>
      <w:bookmarkStart w:id="685" w:name="_Toc447265602"/>
      <w:bookmarkStart w:id="686" w:name="_Toc447265316"/>
      <w:r>
        <w:rPr>
          <w:rFonts w:hint="eastAsia" w:ascii="仿宋" w:hAnsi="仿宋" w:eastAsia="仿宋" w:cs="仿宋"/>
          <w:b/>
        </w:rPr>
        <w:t>第六章 投标文件格式</w:t>
      </w:r>
      <w:bookmarkEnd w:id="684"/>
      <w:bookmarkEnd w:id="685"/>
      <w:bookmarkEnd w:id="686"/>
    </w:p>
    <w:p w14:paraId="7629F4EF">
      <w:pPr>
        <w:snapToGrid w:val="0"/>
        <w:spacing w:after="0" w:line="360" w:lineRule="auto"/>
        <w:ind w:left="1040" w:hanging="1040" w:hangingChars="200"/>
        <w:jc w:val="center"/>
        <w:rPr>
          <w:rFonts w:hint="eastAsia" w:ascii="仿宋" w:hAnsi="仿宋" w:eastAsia="仿宋" w:cs="仿宋"/>
          <w:sz w:val="52"/>
          <w:szCs w:val="52"/>
        </w:rPr>
      </w:pPr>
      <w:r>
        <w:rPr>
          <w:rFonts w:hint="eastAsia" w:ascii="仿宋" w:hAnsi="仿宋" w:eastAsia="仿宋" w:cs="仿宋"/>
          <w:sz w:val="52"/>
          <w:szCs w:val="52"/>
        </w:rPr>
        <w:t xml:space="preserve"> </w:t>
      </w:r>
    </w:p>
    <w:p w14:paraId="42A65F73">
      <w:pPr>
        <w:snapToGrid w:val="0"/>
        <w:spacing w:after="0" w:line="360" w:lineRule="auto"/>
        <w:jc w:val="center"/>
        <w:rPr>
          <w:rFonts w:hint="eastAsia" w:ascii="仿宋" w:hAnsi="仿宋" w:eastAsia="仿宋" w:cs="仿宋"/>
          <w:b/>
          <w:sz w:val="44"/>
          <w:szCs w:val="44"/>
        </w:rPr>
      </w:pPr>
      <w:r>
        <w:rPr>
          <w:rFonts w:hint="eastAsia" w:ascii="仿宋" w:hAnsi="仿宋" w:eastAsia="仿宋" w:cs="仿宋"/>
          <w:b/>
          <w:sz w:val="44"/>
          <w:szCs w:val="44"/>
        </w:rPr>
        <w:t>XX项目</w:t>
      </w:r>
    </w:p>
    <w:p w14:paraId="03A8848A">
      <w:pPr>
        <w:snapToGrid w:val="0"/>
        <w:spacing w:after="0" w:line="360" w:lineRule="auto"/>
        <w:jc w:val="center"/>
        <w:rPr>
          <w:rFonts w:hint="eastAsia" w:ascii="仿宋" w:hAnsi="仿宋" w:eastAsia="仿宋" w:cs="仿宋"/>
          <w:b/>
          <w:sz w:val="44"/>
          <w:szCs w:val="44"/>
        </w:rPr>
      </w:pPr>
      <w:r>
        <w:rPr>
          <w:rFonts w:hint="eastAsia" w:ascii="仿宋" w:hAnsi="仿宋" w:eastAsia="仿宋" w:cs="仿宋"/>
          <w:b/>
          <w:sz w:val="44"/>
          <w:szCs w:val="44"/>
        </w:rPr>
        <w:t>投 标 文 件</w:t>
      </w:r>
    </w:p>
    <w:p w14:paraId="72F159BA">
      <w:pPr>
        <w:pStyle w:val="25"/>
        <w:snapToGrid w:val="0"/>
        <w:spacing w:before="0" w:line="360" w:lineRule="auto"/>
        <w:rPr>
          <w:rFonts w:hint="eastAsia" w:ascii="仿宋" w:hAnsi="仿宋" w:eastAsia="仿宋" w:cs="仿宋"/>
          <w:color w:val="auto"/>
        </w:rPr>
      </w:pPr>
    </w:p>
    <w:p w14:paraId="300C2C3B">
      <w:pPr>
        <w:rPr>
          <w:rFonts w:hint="eastAsia" w:ascii="仿宋" w:hAnsi="仿宋" w:eastAsia="仿宋" w:cs="仿宋"/>
        </w:rPr>
      </w:pPr>
    </w:p>
    <w:p w14:paraId="5E09B06B">
      <w:pPr>
        <w:rPr>
          <w:rFonts w:hint="eastAsia" w:ascii="仿宋" w:hAnsi="仿宋" w:eastAsia="仿宋" w:cs="仿宋"/>
        </w:rPr>
      </w:pPr>
    </w:p>
    <w:p w14:paraId="34C1E2AC">
      <w:pPr>
        <w:rPr>
          <w:rFonts w:hint="eastAsia" w:ascii="仿宋" w:hAnsi="仿宋" w:eastAsia="仿宋" w:cs="仿宋"/>
        </w:rPr>
      </w:pPr>
    </w:p>
    <w:p w14:paraId="0D21A63F">
      <w:pPr>
        <w:rPr>
          <w:rFonts w:hint="eastAsia" w:ascii="仿宋" w:hAnsi="仿宋" w:eastAsia="仿宋" w:cs="仿宋"/>
        </w:rPr>
      </w:pPr>
    </w:p>
    <w:p w14:paraId="5EF3767B">
      <w:pPr>
        <w:pStyle w:val="13"/>
        <w:adjustRightInd/>
        <w:snapToGrid w:val="0"/>
        <w:spacing w:before="0" w:beforeAutospacing="0" w:after="0" w:afterAutospacing="0" w:line="360" w:lineRule="auto"/>
        <w:ind w:left="560" w:hanging="560" w:hangingChars="200"/>
        <w:jc w:val="both"/>
        <w:rPr>
          <w:rFonts w:hint="eastAsia" w:ascii="仿宋" w:hAnsi="仿宋" w:eastAsia="仿宋" w:cs="仿宋"/>
          <w:kern w:val="2"/>
          <w:sz w:val="28"/>
        </w:rPr>
      </w:pPr>
      <w:r>
        <w:rPr>
          <w:rFonts w:hint="eastAsia" w:ascii="仿宋" w:hAnsi="仿宋" w:eastAsia="仿宋" w:cs="仿宋"/>
          <w:kern w:val="2"/>
          <w:sz w:val="28"/>
        </w:rPr>
        <w:t>项目编号：</w:t>
      </w:r>
    </w:p>
    <w:p w14:paraId="3D154458">
      <w:pPr>
        <w:pStyle w:val="13"/>
        <w:adjustRightInd/>
        <w:snapToGrid w:val="0"/>
        <w:spacing w:before="0" w:beforeAutospacing="0" w:after="0" w:afterAutospacing="0" w:line="360" w:lineRule="auto"/>
        <w:ind w:left="560" w:hanging="560" w:hangingChars="200"/>
        <w:jc w:val="both"/>
        <w:rPr>
          <w:rFonts w:hint="eastAsia" w:ascii="仿宋" w:hAnsi="仿宋" w:eastAsia="仿宋" w:cs="仿宋"/>
          <w:kern w:val="2"/>
          <w:sz w:val="28"/>
          <w:u w:val="single"/>
        </w:rPr>
      </w:pPr>
      <w:r>
        <w:rPr>
          <w:rFonts w:hint="eastAsia" w:ascii="仿宋" w:hAnsi="仿宋" w:eastAsia="仿宋" w:cs="仿宋"/>
          <w:kern w:val="2"/>
          <w:sz w:val="28"/>
        </w:rPr>
        <w:t>招标人名称：XX</w:t>
      </w:r>
    </w:p>
    <w:p w14:paraId="73EBC0E1">
      <w:pPr>
        <w:pStyle w:val="13"/>
        <w:adjustRightInd/>
        <w:snapToGrid w:val="0"/>
        <w:spacing w:before="0" w:beforeAutospacing="0" w:after="0" w:afterAutospacing="0" w:line="360" w:lineRule="auto"/>
        <w:ind w:left="560" w:hanging="560" w:hangingChars="200"/>
        <w:jc w:val="both"/>
        <w:rPr>
          <w:rFonts w:hint="eastAsia" w:ascii="仿宋" w:hAnsi="仿宋" w:eastAsia="仿宋" w:cs="仿宋"/>
          <w:kern w:val="2"/>
          <w:sz w:val="28"/>
        </w:rPr>
      </w:pPr>
      <w:r>
        <w:rPr>
          <w:rFonts w:hint="eastAsia" w:ascii="仿宋" w:hAnsi="仿宋" w:eastAsia="仿宋" w:cs="仿宋"/>
          <w:kern w:val="2"/>
          <w:sz w:val="28"/>
        </w:rPr>
        <w:t>招标代理机构名称：</w:t>
      </w:r>
    </w:p>
    <w:p w14:paraId="36535A92">
      <w:pPr>
        <w:pStyle w:val="13"/>
        <w:adjustRightInd/>
        <w:snapToGrid w:val="0"/>
        <w:spacing w:before="0" w:beforeAutospacing="0" w:after="0" w:afterAutospacing="0" w:line="360" w:lineRule="auto"/>
        <w:ind w:left="560" w:hanging="560" w:hangingChars="200"/>
        <w:jc w:val="both"/>
        <w:rPr>
          <w:rFonts w:hint="eastAsia" w:ascii="仿宋" w:hAnsi="仿宋" w:eastAsia="仿宋" w:cs="仿宋"/>
          <w:b/>
          <w:bCs/>
          <w:kern w:val="2"/>
          <w:sz w:val="32"/>
          <w:szCs w:val="28"/>
        </w:rPr>
      </w:pPr>
      <w:r>
        <w:rPr>
          <w:rFonts w:hint="eastAsia" w:ascii="仿宋" w:hAnsi="仿宋" w:eastAsia="仿宋" w:cs="仿宋"/>
          <w:kern w:val="2"/>
          <w:sz w:val="28"/>
        </w:rPr>
        <w:t xml:space="preserve">投标人：（填写供应商全称并盖公章）      </w:t>
      </w:r>
    </w:p>
    <w:p w14:paraId="36C65CFF">
      <w:pPr>
        <w:pStyle w:val="13"/>
        <w:adjustRightInd/>
        <w:snapToGrid w:val="0"/>
        <w:spacing w:before="0" w:beforeAutospacing="0" w:after="0" w:afterAutospacing="0" w:line="360" w:lineRule="auto"/>
        <w:ind w:left="560" w:hanging="560" w:hangingChars="200"/>
        <w:jc w:val="both"/>
        <w:rPr>
          <w:rFonts w:hint="eastAsia" w:ascii="仿宋" w:hAnsi="仿宋" w:eastAsia="仿宋" w:cs="仿宋"/>
          <w:kern w:val="2"/>
          <w:sz w:val="28"/>
        </w:rPr>
      </w:pPr>
      <w:r>
        <w:rPr>
          <w:rFonts w:hint="eastAsia" w:ascii="仿宋" w:hAnsi="仿宋" w:eastAsia="仿宋" w:cs="仿宋"/>
          <w:kern w:val="2"/>
          <w:sz w:val="28"/>
        </w:rPr>
        <w:t>投标人法定代表人或委托代理人：（签名）</w:t>
      </w:r>
    </w:p>
    <w:p w14:paraId="72EA60D3">
      <w:pPr>
        <w:pStyle w:val="13"/>
        <w:adjustRightInd/>
        <w:snapToGrid w:val="0"/>
        <w:spacing w:before="0" w:beforeAutospacing="0" w:after="0" w:afterAutospacing="0" w:line="360" w:lineRule="auto"/>
        <w:ind w:left="560" w:hanging="560" w:hangingChars="200"/>
        <w:jc w:val="both"/>
        <w:rPr>
          <w:rFonts w:hint="eastAsia" w:ascii="仿宋" w:hAnsi="仿宋" w:eastAsia="仿宋" w:cs="仿宋"/>
          <w:kern w:val="2"/>
          <w:sz w:val="28"/>
        </w:rPr>
      </w:pPr>
      <w:r>
        <w:rPr>
          <w:rFonts w:hint="eastAsia" w:ascii="仿宋" w:hAnsi="仿宋" w:eastAsia="仿宋" w:cs="仿宋"/>
          <w:kern w:val="2"/>
          <w:sz w:val="28"/>
        </w:rPr>
        <w:t xml:space="preserve"> </w:t>
      </w:r>
    </w:p>
    <w:p w14:paraId="249175B7">
      <w:pPr>
        <w:pStyle w:val="13"/>
        <w:adjustRightInd/>
        <w:snapToGrid w:val="0"/>
        <w:spacing w:before="0" w:beforeAutospacing="0" w:after="0" w:afterAutospacing="0" w:line="360" w:lineRule="auto"/>
        <w:ind w:left="560" w:hanging="560" w:hangingChars="200"/>
        <w:jc w:val="both"/>
        <w:rPr>
          <w:rFonts w:hint="eastAsia" w:ascii="仿宋" w:hAnsi="仿宋" w:eastAsia="仿宋" w:cs="仿宋"/>
          <w:kern w:val="2"/>
          <w:sz w:val="28"/>
        </w:rPr>
      </w:pPr>
      <w:r>
        <w:rPr>
          <w:rFonts w:hint="eastAsia" w:ascii="仿宋" w:hAnsi="仿宋" w:eastAsia="仿宋" w:cs="仿宋"/>
          <w:kern w:val="2"/>
          <w:sz w:val="28"/>
        </w:rPr>
        <w:t>日期：</w:t>
      </w:r>
      <w:r>
        <w:rPr>
          <w:rFonts w:hint="eastAsia" w:ascii="仿宋" w:hAnsi="仿宋" w:eastAsia="仿宋" w:cs="仿宋"/>
          <w:kern w:val="2"/>
          <w:sz w:val="28"/>
          <w:u w:val="single"/>
        </w:rPr>
        <w:t xml:space="preserve">          </w:t>
      </w:r>
      <w:r>
        <w:rPr>
          <w:rFonts w:hint="eastAsia" w:ascii="仿宋" w:hAnsi="仿宋" w:eastAsia="仿宋" w:cs="仿宋"/>
          <w:kern w:val="2"/>
          <w:sz w:val="28"/>
        </w:rPr>
        <w:t>年</w:t>
      </w:r>
      <w:r>
        <w:rPr>
          <w:rFonts w:hint="eastAsia" w:ascii="仿宋" w:hAnsi="仿宋" w:eastAsia="仿宋" w:cs="仿宋"/>
          <w:kern w:val="2"/>
          <w:sz w:val="28"/>
          <w:u w:val="single"/>
        </w:rPr>
        <w:t xml:space="preserve">       </w:t>
      </w:r>
      <w:r>
        <w:rPr>
          <w:rFonts w:hint="eastAsia" w:ascii="仿宋" w:hAnsi="仿宋" w:eastAsia="仿宋" w:cs="仿宋"/>
          <w:kern w:val="2"/>
          <w:sz w:val="28"/>
        </w:rPr>
        <w:t>月______日</w:t>
      </w:r>
    </w:p>
    <w:p w14:paraId="7B5DB914">
      <w:pPr>
        <w:pStyle w:val="19"/>
        <w:spacing w:before="0" w:after="0" w:line="400" w:lineRule="exact"/>
        <w:jc w:val="both"/>
        <w:outlineLvl w:val="9"/>
        <w:rPr>
          <w:rFonts w:hint="eastAsia" w:ascii="仿宋" w:hAnsi="仿宋" w:eastAsia="仿宋" w:cs="仿宋"/>
          <w:b/>
          <w:bCs w:val="0"/>
          <w:kern w:val="0"/>
          <w:sz w:val="28"/>
          <w:szCs w:val="28"/>
        </w:rPr>
      </w:pPr>
    </w:p>
    <w:p w14:paraId="55923F08">
      <w:pPr>
        <w:spacing w:after="0" w:line="400" w:lineRule="exact"/>
        <w:jc w:val="center"/>
        <w:rPr>
          <w:rFonts w:hint="eastAsia" w:ascii="仿宋" w:hAnsi="仿宋" w:eastAsia="仿宋" w:cs="仿宋"/>
          <w:sz w:val="32"/>
          <w:szCs w:val="32"/>
          <w:u w:val="single"/>
        </w:rPr>
        <w:sectPr>
          <w:pgSz w:w="11906" w:h="16838"/>
          <w:pgMar w:top="1440" w:right="1800" w:bottom="1440" w:left="1800" w:header="851" w:footer="992" w:gutter="0"/>
          <w:cols w:space="720" w:num="1"/>
          <w:docGrid w:type="lines" w:linePitch="312" w:charSpace="0"/>
        </w:sectPr>
      </w:pPr>
    </w:p>
    <w:p w14:paraId="6688FF07">
      <w:pPr>
        <w:pStyle w:val="14"/>
        <w:numPr>
          <w:ilvl w:val="1"/>
          <w:numId w:val="0"/>
        </w:numPr>
        <w:tabs>
          <w:tab w:val="left" w:pos="588"/>
        </w:tabs>
        <w:snapToGrid w:val="0"/>
        <w:spacing w:before="0" w:after="0" w:line="400" w:lineRule="exact"/>
        <w:ind w:hanging="425"/>
        <w:outlineLvl w:val="9"/>
        <w:rPr>
          <w:rFonts w:hint="eastAsia" w:ascii="仿宋" w:hAnsi="仿宋" w:eastAsia="仿宋" w:cs="仿宋"/>
          <w:sz w:val="24"/>
          <w:szCs w:val="24"/>
        </w:rPr>
      </w:pPr>
      <w:bookmarkStart w:id="687" w:name="_Toc2115"/>
      <w:bookmarkStart w:id="688" w:name="_Toc2310"/>
      <w:bookmarkStart w:id="689" w:name="_Toc24084"/>
      <w:bookmarkStart w:id="690" w:name="_Toc447265317"/>
      <w:bookmarkStart w:id="691" w:name="_Toc447265603"/>
      <w:bookmarkStart w:id="692" w:name="_Toc438052118"/>
      <w:r>
        <w:rPr>
          <w:rFonts w:hint="eastAsia" w:ascii="仿宋" w:hAnsi="仿宋" w:eastAsia="仿宋" w:cs="仿宋"/>
          <w:sz w:val="24"/>
        </w:rPr>
        <w:t>评审标准索引表</w:t>
      </w:r>
      <w:bookmarkEnd w:id="687"/>
      <w:bookmarkEnd w:id="688"/>
      <w:bookmarkEnd w:id="689"/>
    </w:p>
    <w:p w14:paraId="30ACA9AD">
      <w:pPr>
        <w:widowControl/>
        <w:snapToGrid w:val="0"/>
        <w:spacing w:after="0" w:line="400" w:lineRule="exact"/>
        <w:rPr>
          <w:rFonts w:hint="eastAsia" w:ascii="仿宋" w:hAnsi="仿宋" w:eastAsia="仿宋" w:cs="仿宋"/>
          <w:sz w:val="24"/>
        </w:rPr>
      </w:pPr>
      <w:r>
        <w:rPr>
          <w:rFonts w:hint="eastAsia" w:ascii="仿宋" w:hAnsi="仿宋" w:eastAsia="仿宋" w:cs="仿宋"/>
          <w:sz w:val="24"/>
        </w:rPr>
        <w:t>投标文件索引手册需集中反映招标文件中</w:t>
      </w:r>
      <w:r>
        <w:rPr>
          <w:rFonts w:hint="eastAsia" w:ascii="仿宋" w:hAnsi="仿宋" w:eastAsia="仿宋" w:cs="仿宋"/>
          <w:b/>
          <w:sz w:val="24"/>
        </w:rPr>
        <w:t>初步评审标准、详细评审标准</w:t>
      </w:r>
      <w:r>
        <w:rPr>
          <w:rFonts w:hint="eastAsia" w:ascii="仿宋" w:hAnsi="仿宋" w:eastAsia="仿宋" w:cs="仿宋"/>
          <w:sz w:val="24"/>
        </w:rPr>
        <w:t>中的各项内容。</w:t>
      </w:r>
    </w:p>
    <w:p w14:paraId="6AF62E88">
      <w:pPr>
        <w:widowControl/>
        <w:snapToGrid w:val="0"/>
        <w:spacing w:after="0" w:line="400" w:lineRule="exact"/>
        <w:jc w:val="center"/>
        <w:rPr>
          <w:rFonts w:hint="eastAsia" w:ascii="仿宋" w:hAnsi="仿宋" w:eastAsia="仿宋" w:cs="仿宋"/>
          <w:sz w:val="24"/>
        </w:rPr>
      </w:pPr>
      <w:r>
        <w:rPr>
          <w:rFonts w:hint="eastAsia" w:ascii="仿宋" w:hAnsi="仿宋" w:eastAsia="仿宋" w:cs="仿宋"/>
          <w:sz w:val="24"/>
        </w:rPr>
        <w:t>投标文件初步评审标准/详细评审标准索引表</w:t>
      </w:r>
    </w:p>
    <w:tbl>
      <w:tblPr>
        <w:tblStyle w:val="16"/>
        <w:tblW w:w="0" w:type="auto"/>
        <w:tblInd w:w="108" w:type="dxa"/>
        <w:tblLayout w:type="fixed"/>
        <w:tblCellMar>
          <w:top w:w="0" w:type="dxa"/>
          <w:left w:w="108" w:type="dxa"/>
          <w:bottom w:w="0" w:type="dxa"/>
          <w:right w:w="108" w:type="dxa"/>
        </w:tblCellMar>
      </w:tblPr>
      <w:tblGrid>
        <w:gridCol w:w="1312"/>
        <w:gridCol w:w="2633"/>
        <w:gridCol w:w="4775"/>
      </w:tblGrid>
      <w:tr w14:paraId="48C1CCF2">
        <w:tblPrEx>
          <w:tblCellMar>
            <w:top w:w="0" w:type="dxa"/>
            <w:left w:w="108" w:type="dxa"/>
            <w:bottom w:w="0" w:type="dxa"/>
            <w:right w:w="108" w:type="dxa"/>
          </w:tblCellMar>
        </w:tblPrEx>
        <w:trPr>
          <w:trHeight w:val="480" w:hRule="atLeast"/>
        </w:trPr>
        <w:tc>
          <w:tcPr>
            <w:tcW w:w="1312" w:type="dxa"/>
            <w:tcBorders>
              <w:top w:val="single" w:color="auto" w:sz="4" w:space="0"/>
              <w:left w:val="single" w:color="auto" w:sz="4" w:space="0"/>
              <w:bottom w:val="single" w:color="auto" w:sz="4" w:space="0"/>
              <w:right w:val="single" w:color="auto" w:sz="4" w:space="0"/>
            </w:tcBorders>
            <w:vAlign w:val="center"/>
          </w:tcPr>
          <w:p w14:paraId="01640BB3">
            <w:pPr>
              <w:widowControl/>
              <w:spacing w:after="0" w:line="400" w:lineRule="exact"/>
              <w:jc w:val="center"/>
              <w:rPr>
                <w:rFonts w:hint="eastAsia" w:ascii="仿宋" w:hAnsi="仿宋" w:eastAsia="仿宋" w:cs="仿宋"/>
                <w:b/>
                <w:bCs/>
                <w:szCs w:val="21"/>
              </w:rPr>
            </w:pPr>
            <w:r>
              <w:rPr>
                <w:rFonts w:hint="eastAsia" w:ascii="仿宋" w:hAnsi="仿宋" w:eastAsia="仿宋" w:cs="仿宋"/>
                <w:b/>
                <w:bCs/>
                <w:szCs w:val="21"/>
              </w:rPr>
              <w:t>评估指标</w:t>
            </w:r>
          </w:p>
        </w:tc>
        <w:tc>
          <w:tcPr>
            <w:tcW w:w="2633" w:type="dxa"/>
            <w:tcBorders>
              <w:top w:val="single" w:color="auto" w:sz="4" w:space="0"/>
              <w:left w:val="nil"/>
              <w:bottom w:val="single" w:color="auto" w:sz="4" w:space="0"/>
              <w:right w:val="single" w:color="auto" w:sz="4" w:space="0"/>
            </w:tcBorders>
            <w:vAlign w:val="center"/>
          </w:tcPr>
          <w:p w14:paraId="762181E7">
            <w:pPr>
              <w:widowControl/>
              <w:spacing w:after="0" w:line="400" w:lineRule="exact"/>
              <w:jc w:val="center"/>
              <w:rPr>
                <w:rFonts w:hint="eastAsia" w:ascii="仿宋" w:hAnsi="仿宋" w:eastAsia="仿宋" w:cs="仿宋"/>
                <w:b/>
                <w:bCs/>
                <w:szCs w:val="21"/>
              </w:rPr>
            </w:pPr>
            <w:r>
              <w:rPr>
                <w:rFonts w:hint="eastAsia" w:ascii="仿宋" w:hAnsi="仿宋" w:eastAsia="仿宋" w:cs="仿宋"/>
                <w:b/>
                <w:bCs/>
                <w:szCs w:val="21"/>
              </w:rPr>
              <w:t>主要内容</w:t>
            </w:r>
          </w:p>
        </w:tc>
        <w:tc>
          <w:tcPr>
            <w:tcW w:w="4775" w:type="dxa"/>
            <w:tcBorders>
              <w:top w:val="single" w:color="auto" w:sz="4" w:space="0"/>
              <w:left w:val="nil"/>
              <w:bottom w:val="single" w:color="auto" w:sz="4" w:space="0"/>
              <w:right w:val="single" w:color="auto" w:sz="4" w:space="0"/>
            </w:tcBorders>
            <w:vAlign w:val="center"/>
          </w:tcPr>
          <w:p w14:paraId="7E817DBE">
            <w:pPr>
              <w:widowControl/>
              <w:spacing w:after="0" w:line="400" w:lineRule="exact"/>
              <w:jc w:val="center"/>
              <w:rPr>
                <w:rFonts w:hint="eastAsia" w:ascii="仿宋" w:hAnsi="仿宋" w:eastAsia="仿宋" w:cs="仿宋"/>
                <w:b/>
                <w:bCs/>
                <w:szCs w:val="21"/>
              </w:rPr>
            </w:pPr>
            <w:r>
              <w:rPr>
                <w:rFonts w:hint="eastAsia" w:ascii="仿宋" w:hAnsi="仿宋" w:eastAsia="仿宋" w:cs="仿宋"/>
                <w:b/>
                <w:bCs/>
                <w:szCs w:val="21"/>
              </w:rPr>
              <w:t>投标文件所在页码</w:t>
            </w:r>
          </w:p>
        </w:tc>
      </w:tr>
      <w:tr w14:paraId="05C0B976">
        <w:tblPrEx>
          <w:tblCellMar>
            <w:top w:w="0" w:type="dxa"/>
            <w:left w:w="108" w:type="dxa"/>
            <w:bottom w:w="0" w:type="dxa"/>
            <w:right w:w="108" w:type="dxa"/>
          </w:tblCellMar>
        </w:tblPrEx>
        <w:trPr>
          <w:trHeight w:val="465" w:hRule="atLeast"/>
        </w:trPr>
        <w:tc>
          <w:tcPr>
            <w:tcW w:w="1312" w:type="dxa"/>
            <w:tcBorders>
              <w:top w:val="nil"/>
              <w:left w:val="single" w:color="auto" w:sz="4" w:space="0"/>
              <w:bottom w:val="single" w:color="auto" w:sz="4" w:space="0"/>
              <w:right w:val="single" w:color="auto" w:sz="4" w:space="0"/>
            </w:tcBorders>
            <w:vAlign w:val="center"/>
          </w:tcPr>
          <w:p w14:paraId="4DE0418C">
            <w:pPr>
              <w:widowControl/>
              <w:spacing w:after="0" w:line="400" w:lineRule="exact"/>
              <w:rPr>
                <w:rFonts w:hint="eastAsia" w:ascii="仿宋" w:hAnsi="仿宋" w:eastAsia="仿宋" w:cs="仿宋"/>
                <w:b/>
                <w:bCs/>
                <w:szCs w:val="21"/>
              </w:rPr>
            </w:pPr>
            <w:r>
              <w:rPr>
                <w:rFonts w:hint="eastAsia" w:ascii="仿宋" w:hAnsi="仿宋" w:eastAsia="仿宋" w:cs="仿宋"/>
                <w:szCs w:val="21"/>
              </w:rPr>
              <w:t>例如：资格审查标准</w:t>
            </w:r>
          </w:p>
        </w:tc>
        <w:tc>
          <w:tcPr>
            <w:tcW w:w="2633" w:type="dxa"/>
            <w:tcBorders>
              <w:top w:val="nil"/>
              <w:left w:val="nil"/>
              <w:bottom w:val="single" w:color="auto" w:sz="4" w:space="0"/>
              <w:right w:val="single" w:color="auto" w:sz="4" w:space="0"/>
            </w:tcBorders>
            <w:vAlign w:val="center"/>
          </w:tcPr>
          <w:p w14:paraId="2F3F6556">
            <w:pPr>
              <w:spacing w:after="0" w:line="400" w:lineRule="exact"/>
              <w:jc w:val="center"/>
              <w:rPr>
                <w:rFonts w:hint="eastAsia" w:ascii="仿宋" w:hAnsi="仿宋" w:eastAsia="仿宋" w:cs="仿宋"/>
                <w:szCs w:val="21"/>
              </w:rPr>
            </w:pPr>
            <w:r>
              <w:rPr>
                <w:rFonts w:hint="eastAsia" w:ascii="仿宋" w:hAnsi="仿宋" w:eastAsia="仿宋" w:cs="仿宋"/>
                <w:szCs w:val="21"/>
              </w:rPr>
              <w:t>例如：法人资格</w:t>
            </w:r>
          </w:p>
        </w:tc>
        <w:tc>
          <w:tcPr>
            <w:tcW w:w="4775" w:type="dxa"/>
            <w:tcBorders>
              <w:top w:val="nil"/>
              <w:left w:val="nil"/>
              <w:bottom w:val="single" w:color="auto" w:sz="4" w:space="0"/>
              <w:right w:val="single" w:color="auto" w:sz="4" w:space="0"/>
            </w:tcBorders>
            <w:vAlign w:val="center"/>
          </w:tcPr>
          <w:p w14:paraId="2E1F670A">
            <w:pPr>
              <w:widowControl/>
              <w:spacing w:after="0" w:line="400" w:lineRule="exact"/>
              <w:rPr>
                <w:rFonts w:hint="eastAsia" w:ascii="仿宋" w:hAnsi="仿宋" w:eastAsia="仿宋" w:cs="仿宋"/>
                <w:szCs w:val="21"/>
              </w:rPr>
            </w:pPr>
            <w:r>
              <w:rPr>
                <w:rFonts w:hint="eastAsia" w:ascii="仿宋" w:hAnsi="仿宋" w:eastAsia="仿宋" w:cs="仿宋"/>
                <w:szCs w:val="21"/>
              </w:rPr>
              <w:t>例如：xx项目投标文件P27-P35</w:t>
            </w:r>
          </w:p>
        </w:tc>
      </w:tr>
      <w:tr w14:paraId="3705B93E">
        <w:tblPrEx>
          <w:tblCellMar>
            <w:top w:w="0" w:type="dxa"/>
            <w:left w:w="108" w:type="dxa"/>
            <w:bottom w:w="0" w:type="dxa"/>
            <w:right w:w="108" w:type="dxa"/>
          </w:tblCellMar>
        </w:tblPrEx>
        <w:trPr>
          <w:trHeight w:val="465" w:hRule="atLeast"/>
        </w:trPr>
        <w:tc>
          <w:tcPr>
            <w:tcW w:w="1312" w:type="dxa"/>
            <w:tcBorders>
              <w:top w:val="nil"/>
              <w:left w:val="single" w:color="auto" w:sz="4" w:space="0"/>
              <w:bottom w:val="single" w:color="auto" w:sz="4" w:space="0"/>
              <w:right w:val="single" w:color="auto" w:sz="4" w:space="0"/>
            </w:tcBorders>
            <w:vAlign w:val="center"/>
          </w:tcPr>
          <w:p w14:paraId="4D979AA4">
            <w:pPr>
              <w:widowControl/>
              <w:spacing w:after="0" w:line="400" w:lineRule="exact"/>
              <w:jc w:val="center"/>
              <w:rPr>
                <w:rFonts w:hint="eastAsia" w:ascii="仿宋" w:hAnsi="仿宋" w:eastAsia="仿宋" w:cs="仿宋"/>
                <w:b/>
                <w:bCs/>
                <w:szCs w:val="21"/>
              </w:rPr>
            </w:pPr>
          </w:p>
        </w:tc>
        <w:tc>
          <w:tcPr>
            <w:tcW w:w="2633" w:type="dxa"/>
            <w:tcBorders>
              <w:top w:val="nil"/>
              <w:left w:val="nil"/>
              <w:bottom w:val="single" w:color="auto" w:sz="4" w:space="0"/>
              <w:right w:val="single" w:color="auto" w:sz="4" w:space="0"/>
            </w:tcBorders>
            <w:vAlign w:val="center"/>
          </w:tcPr>
          <w:p w14:paraId="4C1456F3">
            <w:pPr>
              <w:spacing w:after="0" w:line="400" w:lineRule="exact"/>
              <w:jc w:val="center"/>
              <w:rPr>
                <w:rFonts w:hint="eastAsia" w:ascii="仿宋" w:hAnsi="仿宋" w:eastAsia="仿宋" w:cs="仿宋"/>
                <w:szCs w:val="21"/>
              </w:rPr>
            </w:pPr>
          </w:p>
        </w:tc>
        <w:tc>
          <w:tcPr>
            <w:tcW w:w="4775" w:type="dxa"/>
            <w:tcBorders>
              <w:top w:val="nil"/>
              <w:left w:val="nil"/>
              <w:bottom w:val="single" w:color="auto" w:sz="4" w:space="0"/>
              <w:right w:val="single" w:color="auto" w:sz="4" w:space="0"/>
            </w:tcBorders>
            <w:vAlign w:val="center"/>
          </w:tcPr>
          <w:p w14:paraId="43588C28">
            <w:pPr>
              <w:widowControl/>
              <w:spacing w:after="0" w:line="400" w:lineRule="exact"/>
              <w:rPr>
                <w:rFonts w:hint="eastAsia" w:ascii="仿宋" w:hAnsi="仿宋" w:eastAsia="仿宋" w:cs="仿宋"/>
                <w:szCs w:val="21"/>
              </w:rPr>
            </w:pPr>
          </w:p>
        </w:tc>
      </w:tr>
      <w:tr w14:paraId="29CB37FC">
        <w:tblPrEx>
          <w:tblCellMar>
            <w:top w:w="0" w:type="dxa"/>
            <w:left w:w="108" w:type="dxa"/>
            <w:bottom w:w="0" w:type="dxa"/>
            <w:right w:w="108" w:type="dxa"/>
          </w:tblCellMar>
        </w:tblPrEx>
        <w:trPr>
          <w:trHeight w:val="270" w:hRule="atLeast"/>
        </w:trPr>
        <w:tc>
          <w:tcPr>
            <w:tcW w:w="1312" w:type="dxa"/>
            <w:vMerge w:val="restart"/>
            <w:tcBorders>
              <w:top w:val="nil"/>
              <w:left w:val="single" w:color="auto" w:sz="4" w:space="0"/>
              <w:bottom w:val="single" w:color="auto" w:sz="4" w:space="0"/>
              <w:right w:val="single" w:color="auto" w:sz="4" w:space="0"/>
            </w:tcBorders>
            <w:vAlign w:val="center"/>
          </w:tcPr>
          <w:p w14:paraId="71A049C6">
            <w:pPr>
              <w:widowControl/>
              <w:spacing w:after="0" w:line="400" w:lineRule="exact"/>
              <w:jc w:val="center"/>
              <w:rPr>
                <w:rFonts w:hint="eastAsia" w:ascii="仿宋" w:hAnsi="仿宋" w:eastAsia="仿宋" w:cs="仿宋"/>
                <w:b/>
                <w:bCs/>
                <w:szCs w:val="21"/>
              </w:rPr>
            </w:pPr>
            <w:r>
              <w:rPr>
                <w:rFonts w:hint="eastAsia" w:ascii="仿宋" w:hAnsi="仿宋" w:eastAsia="仿宋" w:cs="仿宋"/>
                <w:b/>
                <w:bCs/>
                <w:szCs w:val="21"/>
              </w:rPr>
              <w:t>……</w:t>
            </w:r>
          </w:p>
        </w:tc>
        <w:tc>
          <w:tcPr>
            <w:tcW w:w="2633" w:type="dxa"/>
            <w:tcBorders>
              <w:top w:val="nil"/>
              <w:left w:val="nil"/>
              <w:bottom w:val="single" w:color="auto" w:sz="4" w:space="0"/>
              <w:right w:val="single" w:color="auto" w:sz="4" w:space="0"/>
            </w:tcBorders>
            <w:vAlign w:val="center"/>
          </w:tcPr>
          <w:p w14:paraId="2D3B315C">
            <w:pPr>
              <w:widowControl/>
              <w:spacing w:after="0" w:line="400" w:lineRule="exact"/>
              <w:jc w:val="center"/>
              <w:rPr>
                <w:rFonts w:hint="eastAsia" w:ascii="仿宋" w:hAnsi="仿宋" w:eastAsia="仿宋" w:cs="仿宋"/>
                <w:szCs w:val="21"/>
              </w:rPr>
            </w:pPr>
            <w:r>
              <w:rPr>
                <w:rFonts w:hint="eastAsia" w:ascii="仿宋" w:hAnsi="仿宋" w:eastAsia="仿宋" w:cs="仿宋"/>
                <w:szCs w:val="21"/>
              </w:rPr>
              <w:t>……</w:t>
            </w:r>
          </w:p>
        </w:tc>
        <w:tc>
          <w:tcPr>
            <w:tcW w:w="4775" w:type="dxa"/>
            <w:tcBorders>
              <w:top w:val="nil"/>
              <w:left w:val="nil"/>
              <w:bottom w:val="single" w:color="auto" w:sz="4" w:space="0"/>
              <w:right w:val="single" w:color="auto" w:sz="4" w:space="0"/>
            </w:tcBorders>
            <w:vAlign w:val="center"/>
          </w:tcPr>
          <w:p w14:paraId="52E156C9">
            <w:pPr>
              <w:widowControl/>
              <w:spacing w:after="0" w:line="400" w:lineRule="exact"/>
              <w:rPr>
                <w:rFonts w:hint="eastAsia" w:ascii="仿宋" w:hAnsi="仿宋" w:eastAsia="仿宋" w:cs="仿宋"/>
                <w:szCs w:val="21"/>
              </w:rPr>
            </w:pPr>
            <w:r>
              <w:rPr>
                <w:rFonts w:hint="eastAsia" w:ascii="仿宋" w:hAnsi="仿宋" w:eastAsia="仿宋" w:cs="仿宋"/>
                <w:szCs w:val="21"/>
              </w:rPr>
              <w:t>　</w:t>
            </w:r>
          </w:p>
        </w:tc>
      </w:tr>
      <w:tr w14:paraId="4F3B3AD7">
        <w:tblPrEx>
          <w:tblCellMar>
            <w:top w:w="0" w:type="dxa"/>
            <w:left w:w="108" w:type="dxa"/>
            <w:bottom w:w="0" w:type="dxa"/>
            <w:right w:w="108" w:type="dxa"/>
          </w:tblCellMar>
        </w:tblPrEx>
        <w:trPr>
          <w:trHeight w:val="270" w:hRule="atLeast"/>
        </w:trPr>
        <w:tc>
          <w:tcPr>
            <w:tcW w:w="1312" w:type="dxa"/>
            <w:vMerge w:val="continue"/>
            <w:tcBorders>
              <w:top w:val="nil"/>
              <w:left w:val="single" w:color="auto" w:sz="4" w:space="0"/>
              <w:bottom w:val="single" w:color="auto" w:sz="4" w:space="0"/>
              <w:right w:val="single" w:color="auto" w:sz="4" w:space="0"/>
            </w:tcBorders>
            <w:vAlign w:val="center"/>
          </w:tcPr>
          <w:p w14:paraId="742F85A7">
            <w:pPr>
              <w:widowControl/>
              <w:spacing w:after="0" w:line="400" w:lineRule="exact"/>
              <w:rPr>
                <w:rFonts w:hint="eastAsia" w:ascii="仿宋" w:hAnsi="仿宋" w:eastAsia="仿宋" w:cs="仿宋"/>
                <w:b/>
                <w:bCs/>
                <w:szCs w:val="21"/>
              </w:rPr>
            </w:pPr>
          </w:p>
        </w:tc>
        <w:tc>
          <w:tcPr>
            <w:tcW w:w="2633" w:type="dxa"/>
            <w:tcBorders>
              <w:top w:val="nil"/>
              <w:left w:val="nil"/>
              <w:bottom w:val="single" w:color="auto" w:sz="4" w:space="0"/>
              <w:right w:val="single" w:color="auto" w:sz="4" w:space="0"/>
            </w:tcBorders>
            <w:vAlign w:val="center"/>
          </w:tcPr>
          <w:p w14:paraId="5E273FF7">
            <w:pPr>
              <w:widowControl/>
              <w:spacing w:after="0" w:line="400" w:lineRule="exact"/>
              <w:jc w:val="center"/>
              <w:rPr>
                <w:rFonts w:hint="eastAsia" w:ascii="仿宋" w:hAnsi="仿宋" w:eastAsia="仿宋" w:cs="仿宋"/>
                <w:szCs w:val="21"/>
              </w:rPr>
            </w:pPr>
            <w:r>
              <w:rPr>
                <w:rFonts w:hint="eastAsia" w:ascii="仿宋" w:hAnsi="仿宋" w:eastAsia="仿宋" w:cs="仿宋"/>
                <w:szCs w:val="21"/>
              </w:rPr>
              <w:t>……</w:t>
            </w:r>
          </w:p>
        </w:tc>
        <w:tc>
          <w:tcPr>
            <w:tcW w:w="4775" w:type="dxa"/>
            <w:tcBorders>
              <w:top w:val="nil"/>
              <w:left w:val="nil"/>
              <w:bottom w:val="single" w:color="auto" w:sz="4" w:space="0"/>
              <w:right w:val="single" w:color="auto" w:sz="4" w:space="0"/>
            </w:tcBorders>
            <w:vAlign w:val="center"/>
          </w:tcPr>
          <w:p w14:paraId="22CDE0F1">
            <w:pPr>
              <w:widowControl/>
              <w:spacing w:after="0" w:line="400" w:lineRule="exact"/>
              <w:rPr>
                <w:rFonts w:hint="eastAsia" w:ascii="仿宋" w:hAnsi="仿宋" w:eastAsia="仿宋" w:cs="仿宋"/>
                <w:szCs w:val="21"/>
              </w:rPr>
            </w:pPr>
            <w:r>
              <w:rPr>
                <w:rFonts w:hint="eastAsia" w:ascii="仿宋" w:hAnsi="仿宋" w:eastAsia="仿宋" w:cs="仿宋"/>
                <w:szCs w:val="21"/>
              </w:rPr>
              <w:t>　</w:t>
            </w:r>
          </w:p>
        </w:tc>
      </w:tr>
    </w:tbl>
    <w:p w14:paraId="2E4D3A46">
      <w:pPr>
        <w:widowControl/>
        <w:snapToGrid w:val="0"/>
        <w:spacing w:after="0" w:line="400" w:lineRule="exact"/>
        <w:rPr>
          <w:rFonts w:hint="eastAsia" w:ascii="仿宋" w:hAnsi="仿宋" w:eastAsia="仿宋" w:cs="仿宋"/>
          <w:szCs w:val="21"/>
        </w:rPr>
      </w:pPr>
      <w:r>
        <w:rPr>
          <w:rFonts w:hint="eastAsia" w:ascii="仿宋" w:hAnsi="仿宋" w:eastAsia="仿宋" w:cs="仿宋"/>
        </w:rPr>
        <w:t>注：根据招标文件中的初步评审标准/详细评审标准的各项内容自行对索引表进行增加。</w:t>
      </w:r>
    </w:p>
    <w:p w14:paraId="63C1660C">
      <w:pPr>
        <w:widowControl/>
        <w:adjustRightInd w:val="0"/>
        <w:snapToGrid w:val="0"/>
        <w:spacing w:after="0" w:line="400" w:lineRule="exact"/>
        <w:rPr>
          <w:rFonts w:hint="eastAsia" w:ascii="仿宋" w:hAnsi="仿宋" w:eastAsia="仿宋" w:cs="仿宋"/>
          <w:b/>
          <w:bCs/>
        </w:rPr>
      </w:pPr>
      <w:r>
        <w:rPr>
          <w:rFonts w:hint="eastAsia" w:ascii="仿宋" w:hAnsi="仿宋" w:eastAsia="仿宋" w:cs="仿宋"/>
          <w:b/>
          <w:bCs/>
        </w:rPr>
        <w:t xml:space="preserve"> </w:t>
      </w:r>
    </w:p>
    <w:p w14:paraId="0D74B34D">
      <w:pPr>
        <w:widowControl/>
        <w:adjustRightInd w:val="0"/>
        <w:snapToGrid w:val="0"/>
        <w:spacing w:after="0" w:line="400" w:lineRule="exact"/>
        <w:ind w:firstLine="3131" w:firstLineChars="1485"/>
        <w:rPr>
          <w:rFonts w:hint="eastAsia" w:ascii="仿宋" w:hAnsi="仿宋" w:eastAsia="仿宋" w:cs="仿宋"/>
          <w:b/>
          <w:bCs/>
        </w:rPr>
      </w:pPr>
      <w:r>
        <w:rPr>
          <w:rFonts w:hint="eastAsia" w:ascii="仿宋" w:hAnsi="仿宋" w:eastAsia="仿宋" w:cs="仿宋"/>
          <w:b/>
          <w:bCs/>
        </w:rPr>
        <w:t xml:space="preserve">投标人：（填写供应商全称并盖公章） </w:t>
      </w:r>
    </w:p>
    <w:p w14:paraId="510F5BC0">
      <w:pPr>
        <w:widowControl/>
        <w:adjustRightInd w:val="0"/>
        <w:snapToGrid w:val="0"/>
        <w:spacing w:after="0" w:line="400" w:lineRule="exact"/>
        <w:rPr>
          <w:rFonts w:hint="eastAsia" w:ascii="仿宋" w:hAnsi="仿宋" w:eastAsia="仿宋" w:cs="仿宋"/>
          <w:b/>
          <w:bCs/>
        </w:rPr>
      </w:pPr>
      <w:r>
        <w:rPr>
          <w:rFonts w:hint="eastAsia" w:ascii="仿宋" w:hAnsi="仿宋" w:eastAsia="仿宋" w:cs="仿宋"/>
          <w:b/>
          <w:bCs/>
        </w:rPr>
        <w:t xml:space="preserve"> </w:t>
      </w:r>
    </w:p>
    <w:p w14:paraId="553FB93A">
      <w:pPr>
        <w:widowControl/>
        <w:adjustRightInd w:val="0"/>
        <w:snapToGrid w:val="0"/>
        <w:spacing w:after="0" w:line="400" w:lineRule="exact"/>
        <w:ind w:firstLine="3131" w:firstLineChars="1485"/>
        <w:rPr>
          <w:rFonts w:hint="eastAsia" w:ascii="仿宋" w:hAnsi="仿宋" w:eastAsia="仿宋" w:cs="仿宋"/>
          <w:b/>
          <w:bCs/>
        </w:rPr>
      </w:pPr>
      <w:r>
        <w:rPr>
          <w:rFonts w:hint="eastAsia" w:ascii="仿宋" w:hAnsi="仿宋" w:eastAsia="仿宋" w:cs="仿宋"/>
          <w:b/>
          <w:bCs/>
        </w:rPr>
        <w:t>投标人法定代表人或委托代理人：（签名）</w:t>
      </w:r>
    </w:p>
    <w:p w14:paraId="08B1D62B">
      <w:pPr>
        <w:widowControl/>
        <w:adjustRightInd w:val="0"/>
        <w:snapToGrid w:val="0"/>
        <w:spacing w:after="0" w:line="400" w:lineRule="exact"/>
        <w:rPr>
          <w:rFonts w:hint="eastAsia" w:ascii="仿宋" w:hAnsi="仿宋" w:eastAsia="仿宋" w:cs="仿宋"/>
        </w:rPr>
      </w:pPr>
      <w:r>
        <w:rPr>
          <w:rFonts w:hint="eastAsia" w:ascii="仿宋" w:hAnsi="仿宋" w:eastAsia="仿宋" w:cs="仿宋"/>
          <w:b/>
          <w:bCs/>
        </w:rPr>
        <w:t xml:space="preserve"> </w:t>
      </w:r>
    </w:p>
    <w:p w14:paraId="2971D8E9">
      <w:pPr>
        <w:widowControl/>
        <w:adjustRightInd w:val="0"/>
        <w:snapToGrid w:val="0"/>
        <w:spacing w:after="0" w:line="400" w:lineRule="exact"/>
        <w:ind w:firstLine="3584" w:firstLineChars="1700"/>
        <w:rPr>
          <w:rFonts w:hint="eastAsia" w:ascii="仿宋" w:hAnsi="仿宋" w:eastAsia="仿宋" w:cs="仿宋"/>
        </w:rPr>
      </w:pPr>
      <w:r>
        <w:rPr>
          <w:rFonts w:hint="eastAsia" w:ascii="仿宋" w:hAnsi="仿宋" w:eastAsia="仿宋" w:cs="仿宋"/>
          <w:b/>
          <w:bCs/>
        </w:rPr>
        <w:t>日    期： _____年_____月_____日</w:t>
      </w:r>
    </w:p>
    <w:p w14:paraId="4EFE5AF8">
      <w:pPr>
        <w:pStyle w:val="14"/>
        <w:numPr>
          <w:ilvl w:val="0"/>
          <w:numId w:val="12"/>
        </w:numPr>
        <w:tabs>
          <w:tab w:val="left" w:pos="602"/>
        </w:tabs>
        <w:snapToGrid w:val="0"/>
        <w:spacing w:before="0" w:after="0" w:line="360" w:lineRule="auto"/>
        <w:jc w:val="left"/>
        <w:outlineLvl w:val="9"/>
        <w:rPr>
          <w:rFonts w:hint="eastAsia" w:ascii="仿宋" w:hAnsi="仿宋" w:eastAsia="仿宋" w:cs="仿宋"/>
          <w:sz w:val="24"/>
        </w:rPr>
      </w:pPr>
      <w:r>
        <w:rPr>
          <w:rFonts w:hint="eastAsia" w:ascii="仿宋" w:hAnsi="仿宋" w:eastAsia="仿宋" w:cs="仿宋"/>
          <w:szCs w:val="20"/>
        </w:rPr>
        <w:br w:type="page"/>
      </w:r>
      <w:bookmarkEnd w:id="690"/>
      <w:bookmarkEnd w:id="691"/>
      <w:bookmarkEnd w:id="692"/>
      <w:bookmarkStart w:id="693" w:name="_Toc23276"/>
      <w:r>
        <w:rPr>
          <w:rFonts w:hint="eastAsia" w:ascii="仿宋" w:hAnsi="仿宋" w:eastAsia="仿宋" w:cs="仿宋"/>
          <w:szCs w:val="20"/>
        </w:rPr>
        <w:t>资格审查部分</w:t>
      </w:r>
      <w:bookmarkEnd w:id="693"/>
      <w:bookmarkStart w:id="694" w:name="_Toc22742"/>
      <w:bookmarkStart w:id="695" w:name="_Toc510018308"/>
      <w:bookmarkStart w:id="696" w:name="_Toc447265610"/>
      <w:bookmarkStart w:id="697" w:name="_Toc447265324"/>
    </w:p>
    <w:p w14:paraId="20A01107">
      <w:pPr>
        <w:pStyle w:val="14"/>
        <w:numPr>
          <w:ilvl w:val="1"/>
          <w:numId w:val="0"/>
        </w:numPr>
        <w:tabs>
          <w:tab w:val="left" w:pos="602"/>
        </w:tabs>
        <w:snapToGrid w:val="0"/>
        <w:spacing w:before="0" w:after="0" w:line="360" w:lineRule="auto"/>
        <w:ind w:left="420" w:leftChars="0"/>
        <w:jc w:val="left"/>
        <w:outlineLvl w:val="9"/>
        <w:rPr>
          <w:rFonts w:hint="eastAsia" w:ascii="仿宋" w:hAnsi="仿宋" w:eastAsia="仿宋" w:cs="仿宋"/>
          <w:sz w:val="24"/>
        </w:rPr>
      </w:pPr>
      <w:r>
        <w:rPr>
          <w:rFonts w:hint="eastAsia" w:ascii="仿宋" w:hAnsi="仿宋" w:eastAsia="仿宋" w:cs="仿宋"/>
          <w:b/>
          <w:bCs/>
          <w:sz w:val="24"/>
          <w:szCs w:val="21"/>
          <w:lang w:val="en-US" w:eastAsia="zh-CN"/>
        </w:rPr>
        <w:t>1</w:t>
      </w:r>
      <w:r>
        <w:rPr>
          <w:rFonts w:hint="eastAsia" w:ascii="仿宋" w:hAnsi="仿宋" w:eastAsia="仿宋" w:cs="仿宋"/>
          <w:b/>
          <w:bCs/>
          <w:sz w:val="24"/>
          <w:szCs w:val="21"/>
        </w:rPr>
        <w:t>.投标函</w:t>
      </w:r>
      <w:bookmarkEnd w:id="694"/>
    </w:p>
    <w:p w14:paraId="37B9F8C9">
      <w:pPr>
        <w:adjustRightInd w:val="0"/>
        <w:snapToGrid w:val="0"/>
        <w:spacing w:line="400" w:lineRule="exact"/>
        <w:jc w:val="center"/>
        <w:rPr>
          <w:rFonts w:hint="eastAsia" w:ascii="仿宋" w:hAnsi="仿宋" w:eastAsia="仿宋" w:cs="仿宋"/>
          <w:b/>
          <w:bCs/>
          <w:sz w:val="24"/>
          <w:szCs w:val="21"/>
        </w:rPr>
      </w:pPr>
      <w:r>
        <w:rPr>
          <w:rFonts w:hint="eastAsia" w:ascii="仿宋" w:hAnsi="仿宋" w:eastAsia="仿宋" w:cs="仿宋"/>
          <w:b/>
          <w:bCs/>
          <w:sz w:val="24"/>
          <w:szCs w:val="21"/>
        </w:rPr>
        <w:t>投  标  函</w:t>
      </w:r>
    </w:p>
    <w:p w14:paraId="7489F62E">
      <w:pPr>
        <w:adjustRightInd w:val="0"/>
        <w:snapToGrid w:val="0"/>
        <w:spacing w:line="400" w:lineRule="exact"/>
        <w:jc w:val="left"/>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（招标人名称）        </w:t>
      </w:r>
      <w:r>
        <w:rPr>
          <w:rFonts w:hint="eastAsia" w:ascii="仿宋" w:hAnsi="仿宋" w:eastAsia="仿宋" w:cs="仿宋"/>
          <w:szCs w:val="21"/>
        </w:rPr>
        <w:t>：</w:t>
      </w:r>
    </w:p>
    <w:p w14:paraId="6BB647A2">
      <w:pPr>
        <w:spacing w:line="400" w:lineRule="exact"/>
        <w:ind w:firstLine="420" w:firstLineChars="200"/>
        <w:rPr>
          <w:rFonts w:hint="eastAsia" w:ascii="仿宋" w:hAnsi="仿宋" w:eastAsia="仿宋" w:cs="仿宋"/>
          <w:szCs w:val="21"/>
        </w:rPr>
      </w:pPr>
      <w:r>
        <w:rPr>
          <w:rFonts w:hint="eastAsia" w:ascii="仿宋" w:hAnsi="仿宋" w:eastAsia="仿宋" w:cs="仿宋"/>
          <w:szCs w:val="21"/>
          <w:u w:val="single"/>
        </w:rPr>
        <w:t xml:space="preserve">      （投标单位名称）    </w:t>
      </w:r>
      <w:r>
        <w:rPr>
          <w:rFonts w:hint="eastAsia" w:ascii="仿宋" w:hAnsi="仿宋" w:eastAsia="仿宋" w:cs="仿宋"/>
          <w:szCs w:val="21"/>
        </w:rPr>
        <w:t>（以下称“我方”）已仔细研究了</w:t>
      </w:r>
      <w:r>
        <w:rPr>
          <w:rFonts w:hint="eastAsia" w:ascii="仿宋" w:hAnsi="仿宋" w:eastAsia="仿宋" w:cs="仿宋"/>
          <w:szCs w:val="21"/>
          <w:u w:val="single"/>
        </w:rPr>
        <w:t xml:space="preserve">           （招标项目名称）          （项目编号：        ）  </w:t>
      </w:r>
      <w:r>
        <w:rPr>
          <w:rFonts w:hint="eastAsia" w:ascii="仿宋" w:hAnsi="仿宋" w:eastAsia="仿宋" w:cs="仿宋"/>
          <w:szCs w:val="21"/>
        </w:rPr>
        <w:t>招标文件的全部内容，</w:t>
      </w:r>
      <w:r>
        <w:rPr>
          <w:rFonts w:hint="eastAsia" w:ascii="仿宋" w:hAnsi="仿宋" w:eastAsia="仿宋" w:cs="仿宋"/>
          <w:bCs/>
          <w:szCs w:val="21"/>
        </w:rPr>
        <w:t>包括澄清或者修改文件以及有关附件</w:t>
      </w:r>
      <w:r>
        <w:rPr>
          <w:rFonts w:hint="eastAsia" w:ascii="仿宋" w:hAnsi="仿宋" w:eastAsia="仿宋" w:cs="仿宋"/>
          <w:szCs w:val="21"/>
        </w:rPr>
        <w:t>，我方将严格按照招标文件要求递交符合要求的全部投标文件。</w:t>
      </w:r>
    </w:p>
    <w:p w14:paraId="4AE6F4AF">
      <w:pPr>
        <w:spacing w:line="400" w:lineRule="exact"/>
        <w:ind w:firstLine="420" w:firstLineChars="200"/>
        <w:rPr>
          <w:rFonts w:hint="eastAsia" w:ascii="仿宋" w:hAnsi="仿宋" w:eastAsia="仿宋" w:cs="仿宋"/>
          <w:szCs w:val="21"/>
        </w:rPr>
      </w:pPr>
      <w:r>
        <w:rPr>
          <w:rFonts w:hint="eastAsia" w:ascii="仿宋" w:hAnsi="仿宋" w:eastAsia="仿宋" w:cs="仿宋"/>
          <w:szCs w:val="21"/>
        </w:rPr>
        <w:t>我方承诺如下内容：</w:t>
      </w:r>
    </w:p>
    <w:p w14:paraId="1945A788">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我方已详细审核并确认全部招标文件，包括澄清和修改文件及有关附件。我方的投标文件包含本次招标范围规定的全部内容。</w:t>
      </w:r>
    </w:p>
    <w:p w14:paraId="2038CA99">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我方愿意以含增值税投标总价</w:t>
      </w:r>
      <w:r>
        <w:rPr>
          <w:rFonts w:hint="eastAsia" w:ascii="仿宋" w:hAnsi="仿宋" w:eastAsia="仿宋" w:cs="仿宋"/>
          <w:szCs w:val="21"/>
          <w:u w:val="single"/>
        </w:rPr>
        <w:t xml:space="preserve">         （大写：      ） </w:t>
      </w:r>
      <w:r>
        <w:rPr>
          <w:rFonts w:hint="eastAsia" w:ascii="仿宋" w:hAnsi="仿宋" w:eastAsia="仿宋" w:cs="仿宋"/>
          <w:szCs w:val="21"/>
        </w:rPr>
        <w:t>承包本项目，并承诺按本招标文件、合同条件、技术规范等承包上述项目，能确保项目质量、投资和服务时限等满足招标人的要求。</w:t>
      </w:r>
    </w:p>
    <w:p w14:paraId="3DC12048">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我方承诺在招标文件规定的投标有效期（投标有效期为</w:t>
      </w:r>
      <w:r>
        <w:rPr>
          <w:rFonts w:hint="eastAsia" w:ascii="仿宋" w:hAnsi="仿宋" w:eastAsia="仿宋" w:cs="仿宋"/>
          <w:szCs w:val="21"/>
          <w:u w:val="single"/>
        </w:rPr>
        <w:t xml:space="preserve">     </w:t>
      </w:r>
      <w:r>
        <w:rPr>
          <w:rFonts w:hint="eastAsia" w:ascii="仿宋" w:hAnsi="仿宋" w:eastAsia="仿宋" w:cs="仿宋"/>
          <w:szCs w:val="21"/>
        </w:rPr>
        <w:t>天）内不修改、撤销投标文件。</w:t>
      </w:r>
    </w:p>
    <w:p w14:paraId="350035AF">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随同本投标函递交投标保证金一份，金额为人民币（大写）</w:t>
      </w:r>
      <w:r>
        <w:rPr>
          <w:rFonts w:hint="eastAsia" w:ascii="仿宋" w:hAnsi="仿宋" w:eastAsia="仿宋" w:cs="仿宋"/>
          <w:szCs w:val="21"/>
          <w:u w:val="single"/>
        </w:rPr>
        <w:t xml:space="preserve">        </w:t>
      </w: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w:t>
      </w:r>
    </w:p>
    <w:p w14:paraId="64185802">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我方在评标过程中根据评标委员会要求提供的符合相关规定的澄清文件，构成投标文件的组成部分。</w:t>
      </w:r>
    </w:p>
    <w:p w14:paraId="14F531FA">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我方同意提供贵方可能要求的与投标有关的一切数据或者资料，并完全理解贵方不一定接受最低价的投标。</w:t>
      </w:r>
    </w:p>
    <w:p w14:paraId="1D8AF0DB">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我方承诺不向第三方透露与招标相关的所有信息。</w:t>
      </w:r>
    </w:p>
    <w:p w14:paraId="7646BB66">
      <w:pPr>
        <w:pStyle w:val="20"/>
        <w:numPr>
          <w:ilvl w:val="3"/>
          <w:numId w:val="13"/>
        </w:numPr>
        <w:tabs>
          <w:tab w:val="left" w:pos="709"/>
        </w:tabs>
        <w:spacing w:line="400" w:lineRule="exact"/>
        <w:ind w:left="0" w:firstLine="424" w:firstLineChars="202"/>
        <w:rPr>
          <w:rFonts w:hint="eastAsia" w:ascii="仿宋" w:hAnsi="仿宋" w:eastAsia="仿宋" w:cs="仿宋"/>
          <w:szCs w:val="21"/>
        </w:rPr>
      </w:pPr>
      <w:r>
        <w:rPr>
          <w:rFonts w:hint="eastAsia" w:ascii="仿宋" w:hAnsi="仿宋" w:eastAsia="仿宋" w:cs="仿宋"/>
          <w:szCs w:val="21"/>
        </w:rPr>
        <w:t>如我方中标：</w:t>
      </w:r>
    </w:p>
    <w:p w14:paraId="129040F4">
      <w:pPr>
        <w:pStyle w:val="20"/>
        <w:numPr>
          <w:ilvl w:val="0"/>
          <w:numId w:val="14"/>
        </w:numPr>
        <w:tabs>
          <w:tab w:val="left" w:pos="993"/>
        </w:tabs>
        <w:spacing w:line="400" w:lineRule="exact"/>
        <w:ind w:left="0" w:firstLine="426" w:firstLineChars="0"/>
        <w:rPr>
          <w:rFonts w:hint="eastAsia" w:ascii="仿宋" w:hAnsi="仿宋" w:eastAsia="仿宋" w:cs="仿宋"/>
          <w:szCs w:val="21"/>
        </w:rPr>
      </w:pPr>
      <w:r>
        <w:rPr>
          <w:rFonts w:hint="eastAsia" w:ascii="仿宋" w:hAnsi="仿宋" w:eastAsia="仿宋" w:cs="仿宋"/>
          <w:szCs w:val="21"/>
        </w:rPr>
        <w:t>我方承诺在收到中标通知书后，在中标通知书规定的期限内与你方签订合同。</w:t>
      </w:r>
    </w:p>
    <w:p w14:paraId="43187EB9">
      <w:pPr>
        <w:pStyle w:val="20"/>
        <w:numPr>
          <w:ilvl w:val="0"/>
          <w:numId w:val="14"/>
        </w:numPr>
        <w:tabs>
          <w:tab w:val="left" w:pos="993"/>
        </w:tabs>
        <w:spacing w:line="400" w:lineRule="exact"/>
        <w:ind w:left="0" w:firstLine="426" w:firstLineChars="0"/>
        <w:rPr>
          <w:rFonts w:hint="eastAsia" w:ascii="仿宋" w:hAnsi="仿宋" w:eastAsia="仿宋" w:cs="仿宋"/>
          <w:szCs w:val="21"/>
        </w:rPr>
      </w:pPr>
      <w:r>
        <w:rPr>
          <w:rFonts w:hint="eastAsia" w:ascii="仿宋" w:hAnsi="仿宋" w:eastAsia="仿宋" w:cs="仿宋"/>
          <w:szCs w:val="21"/>
        </w:rPr>
        <w:t>我方承诺按照招标文件规定递交履约保证金、支付招标代理服务费。</w:t>
      </w:r>
    </w:p>
    <w:p w14:paraId="1DC24DE2">
      <w:pPr>
        <w:pStyle w:val="20"/>
        <w:numPr>
          <w:ilvl w:val="0"/>
          <w:numId w:val="14"/>
        </w:numPr>
        <w:tabs>
          <w:tab w:val="left" w:pos="993"/>
        </w:tabs>
        <w:spacing w:line="400" w:lineRule="exact"/>
        <w:ind w:left="0" w:firstLine="426" w:firstLineChars="0"/>
        <w:rPr>
          <w:rFonts w:hint="eastAsia" w:ascii="仿宋" w:hAnsi="仿宋" w:eastAsia="仿宋" w:cs="仿宋"/>
          <w:szCs w:val="21"/>
        </w:rPr>
      </w:pPr>
      <w:r>
        <w:rPr>
          <w:rFonts w:hint="eastAsia" w:ascii="仿宋" w:hAnsi="仿宋" w:eastAsia="仿宋" w:cs="仿宋"/>
          <w:szCs w:val="21"/>
        </w:rPr>
        <w:t>按照招标文件的规定及合同约定履行相关责任和义务。</w:t>
      </w:r>
    </w:p>
    <w:p w14:paraId="4232A64D">
      <w:pPr>
        <w:pStyle w:val="20"/>
        <w:numPr>
          <w:ilvl w:val="0"/>
          <w:numId w:val="14"/>
        </w:numPr>
        <w:tabs>
          <w:tab w:val="left" w:pos="993"/>
        </w:tabs>
        <w:spacing w:line="400" w:lineRule="exact"/>
        <w:ind w:left="0" w:firstLine="426" w:firstLineChars="0"/>
        <w:rPr>
          <w:rFonts w:hint="eastAsia" w:ascii="仿宋" w:hAnsi="仿宋" w:eastAsia="仿宋" w:cs="仿宋"/>
          <w:szCs w:val="21"/>
        </w:rPr>
      </w:pPr>
      <w:r>
        <w:rPr>
          <w:rFonts w:hint="eastAsia" w:ascii="仿宋" w:hAnsi="仿宋" w:eastAsia="仿宋" w:cs="仿宋"/>
          <w:szCs w:val="21"/>
        </w:rPr>
        <w:t>我方在此声明，所递交的投标文件及有关资料内容完整、真实和准确，且不存在第二章“投标单位须知”第8.1款规定的任何一种情形。如有弄虚作假，将承担相应的法律责任，并赔偿由此造成的一切损失。</w:t>
      </w:r>
    </w:p>
    <w:p w14:paraId="2C22B197">
      <w:pPr>
        <w:spacing w:line="400" w:lineRule="exact"/>
        <w:ind w:firstLine="420" w:firstLineChars="200"/>
        <w:jc w:val="left"/>
        <w:rPr>
          <w:rFonts w:hint="eastAsia" w:ascii="仿宋" w:hAnsi="仿宋" w:eastAsia="仿宋" w:cs="仿宋"/>
          <w:szCs w:val="21"/>
        </w:rPr>
      </w:pPr>
      <w:r>
        <w:rPr>
          <w:rFonts w:hint="eastAsia" w:ascii="仿宋" w:hAnsi="仿宋" w:eastAsia="仿宋" w:cs="仿宋"/>
          <w:szCs w:val="21"/>
        </w:rPr>
        <w:t>9.我方在此声明，所递交的投标文件及有关资料内容完整、真实和准确，且不存在第二章“投标单位须知”不可偏离项规定的任何一种情形。</w:t>
      </w:r>
    </w:p>
    <w:p w14:paraId="4A03AA9F">
      <w:pPr>
        <w:spacing w:line="400" w:lineRule="exact"/>
        <w:ind w:firstLine="420" w:firstLineChars="200"/>
        <w:jc w:val="left"/>
        <w:rPr>
          <w:rFonts w:hint="eastAsia" w:ascii="仿宋" w:hAnsi="仿宋" w:eastAsia="仿宋" w:cs="仿宋"/>
          <w:szCs w:val="21"/>
        </w:rPr>
      </w:pPr>
      <w:r>
        <w:rPr>
          <w:rFonts w:hint="eastAsia" w:ascii="仿宋" w:hAnsi="仿宋" w:eastAsia="仿宋" w:cs="仿宋"/>
          <w:szCs w:val="21"/>
        </w:rPr>
        <w:t>10．我方承诺，与贵方聘请的为此项目提供咨询服务的公司及任何附属机构均无关联关系，我方不是贵方的附属机构。</w:t>
      </w:r>
    </w:p>
    <w:p w14:paraId="09B57B85">
      <w:pPr>
        <w:spacing w:line="400" w:lineRule="exact"/>
        <w:ind w:firstLine="420" w:firstLineChars="200"/>
        <w:jc w:val="left"/>
        <w:rPr>
          <w:rFonts w:hint="eastAsia" w:ascii="仿宋" w:hAnsi="仿宋" w:eastAsia="仿宋" w:cs="仿宋"/>
          <w:szCs w:val="21"/>
        </w:rPr>
      </w:pPr>
      <w:r>
        <w:rPr>
          <w:rFonts w:hint="eastAsia" w:ascii="仿宋" w:hAnsi="仿宋" w:eastAsia="仿宋" w:cs="仿宋"/>
          <w:szCs w:val="21"/>
        </w:rPr>
        <w:t>11.我方承诺，与贵方委托的招标代理公司无隶属关系、控股关系及其他利益关系，如有虚假，我方接受投标被否决，并承担其他一切法律后果。</w:t>
      </w:r>
    </w:p>
    <w:p w14:paraId="1250440F">
      <w:pPr>
        <w:spacing w:line="400" w:lineRule="exact"/>
        <w:ind w:firstLine="420" w:firstLineChars="200"/>
        <w:rPr>
          <w:rFonts w:hint="eastAsia" w:ascii="仿宋" w:hAnsi="仿宋" w:eastAsia="仿宋" w:cs="仿宋"/>
          <w:szCs w:val="21"/>
        </w:rPr>
      </w:pPr>
      <w:r>
        <w:rPr>
          <w:rFonts w:hint="eastAsia" w:ascii="仿宋" w:hAnsi="仿宋" w:eastAsia="仿宋" w:cs="仿宋"/>
          <w:szCs w:val="21"/>
        </w:rPr>
        <w:t>12.其他补充说明：……</w:t>
      </w:r>
    </w:p>
    <w:p w14:paraId="2C4FA368">
      <w:pPr>
        <w:spacing w:line="400" w:lineRule="exact"/>
        <w:ind w:firstLine="3150" w:firstLineChars="1500"/>
        <w:rPr>
          <w:rFonts w:hint="eastAsia" w:ascii="仿宋" w:hAnsi="仿宋" w:eastAsia="仿宋" w:cs="仿宋"/>
          <w:szCs w:val="21"/>
        </w:rPr>
      </w:pPr>
      <w:r>
        <w:rPr>
          <w:rFonts w:hint="eastAsia" w:ascii="仿宋" w:hAnsi="仿宋" w:eastAsia="仿宋" w:cs="仿宋"/>
          <w:szCs w:val="21"/>
        </w:rPr>
        <w:t>投标单位名称：</w:t>
      </w:r>
      <w:r>
        <w:rPr>
          <w:rFonts w:hint="eastAsia" w:ascii="仿宋" w:hAnsi="仿宋" w:eastAsia="仿宋" w:cs="仿宋"/>
          <w:szCs w:val="21"/>
          <w:u w:val="single"/>
        </w:rPr>
        <w:t xml:space="preserve">                     </w:t>
      </w:r>
      <w:r>
        <w:rPr>
          <w:rFonts w:hint="eastAsia" w:ascii="仿宋" w:hAnsi="仿宋" w:eastAsia="仿宋" w:cs="仿宋"/>
          <w:szCs w:val="21"/>
        </w:rPr>
        <w:t xml:space="preserve">（盖单位公章） </w:t>
      </w:r>
    </w:p>
    <w:p w14:paraId="063C89DA">
      <w:pPr>
        <w:spacing w:line="400" w:lineRule="exact"/>
        <w:ind w:firstLine="2940" w:firstLineChars="1400"/>
        <w:rPr>
          <w:rFonts w:hint="eastAsia" w:ascii="仿宋" w:hAnsi="仿宋" w:eastAsia="仿宋" w:cs="仿宋"/>
          <w:szCs w:val="21"/>
        </w:rPr>
      </w:pPr>
      <w:r>
        <w:rPr>
          <w:rFonts w:hint="eastAsia" w:ascii="仿宋" w:hAnsi="仿宋" w:eastAsia="仿宋" w:cs="仿宋"/>
          <w:szCs w:val="21"/>
        </w:rPr>
        <w:t>法定代表人或者其委托代理人：</w:t>
      </w:r>
      <w:r>
        <w:rPr>
          <w:rFonts w:hint="eastAsia" w:ascii="仿宋" w:hAnsi="仿宋" w:eastAsia="仿宋" w:cs="仿宋"/>
          <w:szCs w:val="21"/>
          <w:u w:val="single"/>
        </w:rPr>
        <w:t xml:space="preserve">          </w:t>
      </w:r>
      <w:r>
        <w:rPr>
          <w:rFonts w:hint="eastAsia" w:ascii="仿宋" w:hAnsi="仿宋" w:eastAsia="仿宋" w:cs="仿宋"/>
          <w:szCs w:val="21"/>
        </w:rPr>
        <w:t>（签字或签名章）</w:t>
      </w:r>
    </w:p>
    <w:p w14:paraId="5B812518">
      <w:pPr>
        <w:spacing w:line="400" w:lineRule="exact"/>
        <w:ind w:firstLine="3675" w:firstLineChars="1750"/>
        <w:rPr>
          <w:rFonts w:hint="eastAsia" w:ascii="仿宋" w:hAnsi="仿宋" w:eastAsia="仿宋" w:cs="仿宋"/>
          <w:szCs w:val="21"/>
          <w:u w:val="single"/>
        </w:rPr>
      </w:pPr>
      <w:r>
        <w:rPr>
          <w:rFonts w:hint="eastAsia" w:ascii="仿宋" w:hAnsi="仿宋" w:eastAsia="仿宋" w:cs="仿宋"/>
          <w:szCs w:val="21"/>
        </w:rPr>
        <w:t>地址：</w:t>
      </w:r>
      <w:r>
        <w:rPr>
          <w:rFonts w:hint="eastAsia" w:ascii="仿宋" w:hAnsi="仿宋" w:eastAsia="仿宋" w:cs="仿宋"/>
          <w:szCs w:val="21"/>
          <w:u w:val="single"/>
        </w:rPr>
        <w:t xml:space="preserve">                                     </w:t>
      </w:r>
    </w:p>
    <w:p w14:paraId="0478ECB4">
      <w:pPr>
        <w:spacing w:line="400" w:lineRule="exact"/>
        <w:ind w:firstLine="3675" w:firstLineChars="1750"/>
        <w:rPr>
          <w:rFonts w:hint="eastAsia" w:ascii="仿宋" w:hAnsi="仿宋" w:eastAsia="仿宋" w:cs="仿宋"/>
          <w:szCs w:val="21"/>
        </w:rPr>
      </w:pPr>
      <w:r>
        <w:rPr>
          <w:rFonts w:hint="eastAsia" w:ascii="仿宋" w:hAnsi="仿宋" w:eastAsia="仿宋" w:cs="仿宋"/>
          <w:szCs w:val="21"/>
        </w:rPr>
        <w:t>邮政编码：</w:t>
      </w:r>
      <w:r>
        <w:rPr>
          <w:rFonts w:hint="eastAsia" w:ascii="仿宋" w:hAnsi="仿宋" w:eastAsia="仿宋" w:cs="仿宋"/>
          <w:szCs w:val="21"/>
          <w:u w:val="single"/>
        </w:rPr>
        <w:t xml:space="preserve">                                 </w:t>
      </w:r>
    </w:p>
    <w:p w14:paraId="2E1D66D8">
      <w:pPr>
        <w:spacing w:line="400" w:lineRule="exact"/>
        <w:ind w:firstLine="3675" w:firstLineChars="1750"/>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w:t>
      </w:r>
    </w:p>
    <w:p w14:paraId="38FF41D0">
      <w:pPr>
        <w:spacing w:line="400" w:lineRule="exact"/>
        <w:ind w:firstLine="3675" w:firstLineChars="1750"/>
        <w:rPr>
          <w:rFonts w:hint="eastAsia" w:ascii="仿宋" w:hAnsi="仿宋" w:eastAsia="仿宋" w:cs="仿宋"/>
          <w:szCs w:val="21"/>
        </w:rPr>
      </w:pPr>
      <w:r>
        <w:rPr>
          <w:rFonts w:hint="eastAsia" w:ascii="仿宋" w:hAnsi="仿宋" w:eastAsia="仿宋" w:cs="仿宋"/>
          <w:szCs w:val="21"/>
        </w:rPr>
        <w:t>传真：</w:t>
      </w:r>
      <w:r>
        <w:rPr>
          <w:rFonts w:hint="eastAsia" w:ascii="仿宋" w:hAnsi="仿宋" w:eastAsia="仿宋" w:cs="仿宋"/>
          <w:szCs w:val="21"/>
          <w:u w:val="single"/>
        </w:rPr>
        <w:t xml:space="preserve">                                     </w:t>
      </w:r>
    </w:p>
    <w:p w14:paraId="338C9E22">
      <w:pPr>
        <w:spacing w:line="400" w:lineRule="exact"/>
        <w:ind w:firstLine="3675" w:firstLineChars="1750"/>
        <w:rPr>
          <w:rFonts w:hint="eastAsia" w:ascii="仿宋" w:hAnsi="仿宋" w:eastAsia="仿宋" w:cs="仿宋"/>
          <w:szCs w:val="21"/>
        </w:rPr>
      </w:pPr>
      <w:r>
        <w:rPr>
          <w:rFonts w:hint="eastAsia" w:ascii="仿宋" w:hAnsi="仿宋" w:eastAsia="仿宋" w:cs="仿宋"/>
          <w:szCs w:val="21"/>
        </w:rPr>
        <w:t>电子邮箱：</w:t>
      </w:r>
      <w:r>
        <w:rPr>
          <w:rFonts w:hint="eastAsia" w:ascii="仿宋" w:hAnsi="仿宋" w:eastAsia="仿宋" w:cs="仿宋"/>
          <w:szCs w:val="21"/>
          <w:u w:val="single"/>
        </w:rPr>
        <w:t xml:space="preserve">                                 </w:t>
      </w:r>
    </w:p>
    <w:p w14:paraId="349B4276">
      <w:pPr>
        <w:spacing w:line="400" w:lineRule="exact"/>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435186FA">
      <w:pPr>
        <w:rPr>
          <w:rFonts w:hint="eastAsia" w:ascii="仿宋" w:hAnsi="仿宋" w:eastAsia="仿宋" w:cs="仿宋"/>
        </w:rPr>
      </w:pPr>
    </w:p>
    <w:p w14:paraId="29B4040E">
      <w:pPr>
        <w:rPr>
          <w:rFonts w:hint="eastAsia" w:ascii="仿宋" w:hAnsi="仿宋" w:eastAsia="仿宋" w:cs="仿宋"/>
        </w:rPr>
        <w:sectPr>
          <w:pgSz w:w="11906" w:h="16838"/>
          <w:pgMar w:top="1440" w:right="1800" w:bottom="1440" w:left="1800" w:header="851" w:footer="992" w:gutter="0"/>
          <w:cols w:space="720" w:num="1"/>
          <w:docGrid w:type="lines" w:linePitch="312" w:charSpace="0"/>
        </w:sectPr>
      </w:pPr>
    </w:p>
    <w:p w14:paraId="7A0C61C0">
      <w:pPr>
        <w:pStyle w:val="14"/>
        <w:numPr>
          <w:ilvl w:val="1"/>
          <w:numId w:val="0"/>
        </w:numPr>
        <w:tabs>
          <w:tab w:val="left" w:pos="602"/>
        </w:tabs>
        <w:snapToGrid w:val="0"/>
        <w:spacing w:before="120" w:after="120" w:line="400" w:lineRule="exact"/>
        <w:jc w:val="left"/>
        <w:outlineLvl w:val="2"/>
        <w:rPr>
          <w:rFonts w:hint="eastAsia" w:ascii="仿宋" w:hAnsi="仿宋" w:eastAsia="仿宋" w:cs="仿宋"/>
          <w:sz w:val="24"/>
          <w:szCs w:val="21"/>
        </w:rPr>
      </w:pPr>
      <w:bookmarkStart w:id="698" w:name="_Toc6177"/>
      <w:bookmarkStart w:id="699" w:name="_Toc4988"/>
      <w:bookmarkStart w:id="700" w:name="_Toc24889"/>
      <w:r>
        <w:rPr>
          <w:rFonts w:hint="eastAsia" w:ascii="仿宋" w:hAnsi="仿宋" w:eastAsia="仿宋" w:cs="仿宋"/>
          <w:sz w:val="24"/>
          <w:szCs w:val="21"/>
          <w:lang w:val="en-US" w:eastAsia="zh-CN"/>
        </w:rPr>
        <w:t>2</w:t>
      </w:r>
      <w:r>
        <w:rPr>
          <w:rFonts w:hint="eastAsia" w:ascii="仿宋" w:hAnsi="仿宋" w:eastAsia="仿宋" w:cs="仿宋"/>
          <w:sz w:val="24"/>
          <w:szCs w:val="21"/>
        </w:rPr>
        <w:t>.法定代表人身份证明</w:t>
      </w:r>
      <w:bookmarkEnd w:id="698"/>
      <w:bookmarkEnd w:id="699"/>
      <w:bookmarkEnd w:id="700"/>
    </w:p>
    <w:p w14:paraId="480F0CB1">
      <w:pPr>
        <w:spacing w:line="400" w:lineRule="exact"/>
        <w:jc w:val="center"/>
        <w:rPr>
          <w:rFonts w:hint="eastAsia" w:ascii="仿宋" w:hAnsi="仿宋" w:eastAsia="仿宋" w:cs="仿宋"/>
          <w:b/>
          <w:sz w:val="24"/>
        </w:rPr>
      </w:pPr>
    </w:p>
    <w:p w14:paraId="0466CB94">
      <w:pPr>
        <w:spacing w:line="400" w:lineRule="exact"/>
        <w:jc w:val="center"/>
        <w:rPr>
          <w:rFonts w:hint="eastAsia" w:ascii="仿宋" w:hAnsi="仿宋" w:eastAsia="仿宋" w:cs="仿宋"/>
          <w:b/>
          <w:sz w:val="24"/>
        </w:rPr>
      </w:pPr>
      <w:r>
        <w:rPr>
          <w:rFonts w:hint="eastAsia" w:ascii="仿宋" w:hAnsi="仿宋" w:eastAsia="仿宋" w:cs="仿宋"/>
          <w:b/>
          <w:sz w:val="24"/>
        </w:rPr>
        <w:t>法定代表人身份证明</w:t>
      </w:r>
    </w:p>
    <w:p w14:paraId="769CA81B">
      <w:pPr>
        <w:topLinePunct/>
        <w:snapToGrid w:val="0"/>
        <w:spacing w:line="400" w:lineRule="exact"/>
        <w:rPr>
          <w:rFonts w:hint="eastAsia" w:ascii="仿宋" w:hAnsi="仿宋" w:eastAsia="仿宋" w:cs="仿宋"/>
          <w:bCs/>
          <w:szCs w:val="21"/>
          <w:u w:val="single"/>
        </w:rPr>
      </w:pPr>
      <w:r>
        <w:rPr>
          <w:rFonts w:hint="eastAsia" w:ascii="仿宋" w:hAnsi="仿宋" w:eastAsia="仿宋" w:cs="仿宋"/>
          <w:bCs/>
          <w:szCs w:val="21"/>
        </w:rPr>
        <w:t>投标单位名称：</w:t>
      </w:r>
      <w:r>
        <w:rPr>
          <w:rFonts w:hint="eastAsia" w:ascii="仿宋" w:hAnsi="仿宋" w:eastAsia="仿宋" w:cs="仿宋"/>
          <w:bCs/>
          <w:szCs w:val="21"/>
          <w:u w:val="single"/>
        </w:rPr>
        <w:t xml:space="preserve">                         </w:t>
      </w:r>
    </w:p>
    <w:p w14:paraId="72EA0E9D">
      <w:pPr>
        <w:topLinePunct/>
        <w:snapToGrid w:val="0"/>
        <w:spacing w:line="400" w:lineRule="exact"/>
        <w:rPr>
          <w:rFonts w:hint="eastAsia" w:ascii="仿宋" w:hAnsi="仿宋" w:eastAsia="仿宋" w:cs="仿宋"/>
          <w:bCs/>
          <w:szCs w:val="21"/>
        </w:rPr>
      </w:pPr>
      <w:r>
        <w:rPr>
          <w:rFonts w:hint="eastAsia" w:ascii="仿宋" w:hAnsi="仿宋" w:eastAsia="仿宋" w:cs="仿宋"/>
          <w:bCs/>
          <w:szCs w:val="21"/>
        </w:rPr>
        <w:t>单位性质：</w:t>
      </w:r>
      <w:r>
        <w:rPr>
          <w:rFonts w:hint="eastAsia" w:ascii="仿宋" w:hAnsi="仿宋" w:eastAsia="仿宋" w:cs="仿宋"/>
          <w:bCs/>
          <w:szCs w:val="21"/>
          <w:u w:val="single"/>
        </w:rPr>
        <w:t xml:space="preserve">                                  </w:t>
      </w:r>
    </w:p>
    <w:p w14:paraId="183F9227">
      <w:pPr>
        <w:topLinePunct/>
        <w:snapToGrid w:val="0"/>
        <w:spacing w:line="400" w:lineRule="exact"/>
        <w:rPr>
          <w:rFonts w:hint="eastAsia" w:ascii="仿宋" w:hAnsi="仿宋" w:eastAsia="仿宋" w:cs="仿宋"/>
          <w:bCs/>
          <w:szCs w:val="21"/>
        </w:rPr>
      </w:pPr>
      <w:r>
        <w:rPr>
          <w:rFonts w:hint="eastAsia" w:ascii="仿宋" w:hAnsi="仿宋" w:eastAsia="仿宋" w:cs="仿宋"/>
          <w:bCs/>
          <w:szCs w:val="21"/>
        </w:rPr>
        <w:t>成立时间：</w:t>
      </w: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59D6920C">
      <w:pPr>
        <w:topLinePunct/>
        <w:snapToGrid w:val="0"/>
        <w:spacing w:line="400" w:lineRule="exact"/>
        <w:rPr>
          <w:rFonts w:hint="eastAsia" w:ascii="仿宋" w:hAnsi="仿宋" w:eastAsia="仿宋" w:cs="仿宋"/>
          <w:bCs/>
          <w:szCs w:val="21"/>
        </w:rPr>
      </w:pPr>
      <w:r>
        <w:rPr>
          <w:rFonts w:hint="eastAsia" w:ascii="仿宋" w:hAnsi="仿宋" w:eastAsia="仿宋" w:cs="仿宋"/>
          <w:bCs/>
          <w:szCs w:val="21"/>
        </w:rPr>
        <w:t>经营期限：</w:t>
      </w:r>
      <w:r>
        <w:rPr>
          <w:rFonts w:hint="eastAsia" w:ascii="仿宋" w:hAnsi="仿宋" w:eastAsia="仿宋" w:cs="仿宋"/>
          <w:bCs/>
          <w:szCs w:val="21"/>
          <w:u w:val="single"/>
        </w:rPr>
        <w:t xml:space="preserve">            </w:t>
      </w:r>
    </w:p>
    <w:p w14:paraId="17ADB2D3">
      <w:pPr>
        <w:topLinePunct/>
        <w:snapToGrid w:val="0"/>
        <w:spacing w:line="400" w:lineRule="exact"/>
        <w:rPr>
          <w:rFonts w:hint="eastAsia" w:ascii="仿宋" w:hAnsi="仿宋" w:eastAsia="仿宋" w:cs="仿宋"/>
          <w:bCs/>
          <w:szCs w:val="21"/>
          <w:u w:val="single"/>
        </w:rPr>
      </w:pPr>
      <w:r>
        <w:rPr>
          <w:rFonts w:hint="eastAsia" w:ascii="仿宋" w:hAnsi="仿宋" w:eastAsia="仿宋" w:cs="仿宋"/>
          <w:bCs/>
          <w:szCs w:val="21"/>
        </w:rPr>
        <w:t>姓名：</w:t>
      </w:r>
      <w:r>
        <w:rPr>
          <w:rFonts w:hint="eastAsia" w:ascii="仿宋" w:hAnsi="仿宋" w:eastAsia="仿宋" w:cs="仿宋"/>
          <w:bCs/>
          <w:szCs w:val="21"/>
          <w:u w:val="single"/>
        </w:rPr>
        <w:t xml:space="preserve">         </w:t>
      </w:r>
      <w:r>
        <w:rPr>
          <w:rFonts w:hint="eastAsia" w:ascii="仿宋" w:hAnsi="仿宋" w:eastAsia="仿宋" w:cs="仿宋"/>
          <w:bCs/>
          <w:szCs w:val="21"/>
        </w:rPr>
        <w:t>性别：</w:t>
      </w:r>
      <w:r>
        <w:rPr>
          <w:rFonts w:hint="eastAsia" w:ascii="仿宋" w:hAnsi="仿宋" w:eastAsia="仿宋" w:cs="仿宋"/>
          <w:bCs/>
          <w:szCs w:val="21"/>
          <w:u w:val="single"/>
        </w:rPr>
        <w:t xml:space="preserve">          </w:t>
      </w:r>
      <w:r>
        <w:rPr>
          <w:rFonts w:hint="eastAsia" w:ascii="仿宋" w:hAnsi="仿宋" w:eastAsia="仿宋" w:cs="仿宋"/>
          <w:bCs/>
          <w:szCs w:val="21"/>
        </w:rPr>
        <w:t>年龄：</w:t>
      </w:r>
      <w:r>
        <w:rPr>
          <w:rFonts w:hint="eastAsia" w:ascii="仿宋" w:hAnsi="仿宋" w:eastAsia="仿宋" w:cs="仿宋"/>
          <w:bCs/>
          <w:szCs w:val="21"/>
          <w:u w:val="single"/>
        </w:rPr>
        <w:t xml:space="preserve">         </w:t>
      </w:r>
      <w:r>
        <w:rPr>
          <w:rFonts w:hint="eastAsia" w:ascii="仿宋" w:hAnsi="仿宋" w:eastAsia="仿宋" w:cs="仿宋"/>
          <w:bCs/>
          <w:szCs w:val="21"/>
        </w:rPr>
        <w:t>职务：</w:t>
      </w:r>
      <w:r>
        <w:rPr>
          <w:rFonts w:hint="eastAsia" w:ascii="仿宋" w:hAnsi="仿宋" w:eastAsia="仿宋" w:cs="仿宋"/>
          <w:bCs/>
          <w:szCs w:val="21"/>
          <w:u w:val="single"/>
        </w:rPr>
        <w:t xml:space="preserve">            </w:t>
      </w:r>
    </w:p>
    <w:p w14:paraId="7DB201AB">
      <w:pPr>
        <w:topLinePunct/>
        <w:snapToGrid w:val="0"/>
        <w:spacing w:line="400" w:lineRule="exact"/>
        <w:rPr>
          <w:rFonts w:hint="eastAsia" w:ascii="仿宋" w:hAnsi="仿宋" w:eastAsia="仿宋" w:cs="仿宋"/>
          <w:bCs/>
          <w:szCs w:val="21"/>
        </w:rPr>
      </w:pPr>
      <w:r>
        <w:rPr>
          <w:rFonts w:hint="eastAsia" w:ascii="仿宋" w:hAnsi="仿宋" w:eastAsia="仿宋" w:cs="仿宋"/>
          <w:bCs/>
          <w:szCs w:val="21"/>
        </w:rPr>
        <w:t>系</w:t>
      </w:r>
      <w:r>
        <w:rPr>
          <w:rFonts w:hint="eastAsia" w:ascii="仿宋" w:hAnsi="仿宋" w:eastAsia="仿宋" w:cs="仿宋"/>
          <w:bCs/>
          <w:szCs w:val="21"/>
          <w:u w:val="single"/>
        </w:rPr>
        <w:t xml:space="preserve">                   </w:t>
      </w:r>
      <w:r>
        <w:rPr>
          <w:rFonts w:hint="eastAsia" w:ascii="仿宋" w:hAnsi="仿宋" w:eastAsia="仿宋" w:cs="仿宋"/>
          <w:bCs/>
          <w:szCs w:val="21"/>
        </w:rPr>
        <w:t>（投标单位名称）的法定代表人。</w:t>
      </w:r>
    </w:p>
    <w:p w14:paraId="30F70617">
      <w:pPr>
        <w:topLinePunct/>
        <w:snapToGrid w:val="0"/>
        <w:spacing w:line="400" w:lineRule="exact"/>
        <w:ind w:firstLine="420" w:firstLineChars="200"/>
        <w:rPr>
          <w:rFonts w:hint="eastAsia" w:ascii="仿宋" w:hAnsi="仿宋" w:eastAsia="仿宋" w:cs="仿宋"/>
          <w:bCs/>
          <w:szCs w:val="21"/>
        </w:rPr>
      </w:pPr>
      <w:r>
        <w:rPr>
          <w:rFonts w:hint="eastAsia" w:ascii="仿宋" w:hAnsi="仿宋" w:eastAsia="仿宋" w:cs="仿宋"/>
          <w:bCs/>
          <w:szCs w:val="21"/>
        </w:rPr>
        <w:t>特此证明。</w:t>
      </w:r>
    </w:p>
    <w:p w14:paraId="0FB17BB2">
      <w:pPr>
        <w:topLinePunct/>
        <w:snapToGrid w:val="0"/>
        <w:spacing w:line="400" w:lineRule="exact"/>
        <w:ind w:firstLine="420" w:firstLineChars="200"/>
        <w:rPr>
          <w:rFonts w:hint="eastAsia" w:ascii="仿宋" w:hAnsi="仿宋" w:eastAsia="仿宋" w:cs="仿宋"/>
          <w:bCs/>
          <w:szCs w:val="21"/>
        </w:rPr>
      </w:pPr>
    </w:p>
    <w:p w14:paraId="26E31F40">
      <w:pPr>
        <w:topLinePunct/>
        <w:snapToGrid w:val="0"/>
        <w:spacing w:line="400" w:lineRule="exact"/>
        <w:rPr>
          <w:rFonts w:hint="eastAsia" w:ascii="仿宋" w:hAnsi="仿宋" w:eastAsia="仿宋" w:cs="仿宋"/>
        </w:rPr>
      </w:pPr>
      <w:r>
        <w:rPr>
          <w:rFonts w:hint="eastAsia" w:ascii="仿宋" w:hAnsi="仿宋" w:eastAsia="仿宋" w:cs="仿宋"/>
        </w:rPr>
        <w:t>附：法定代表人身份证复印件</w:t>
      </w:r>
      <w:r>
        <w:rPr>
          <w:rFonts w:hint="eastAsia" w:ascii="仿宋" w:hAnsi="仿宋" w:eastAsia="仿宋" w:cs="仿宋"/>
          <w:bCs/>
          <w:szCs w:val="21"/>
        </w:rPr>
        <w:t>(需同时提供正面及背面)</w:t>
      </w:r>
    </w:p>
    <w:p w14:paraId="7232ADF1">
      <w:pPr>
        <w:spacing w:line="400" w:lineRule="exact"/>
        <w:rPr>
          <w:rFonts w:hint="eastAsia" w:ascii="仿宋" w:hAnsi="仿宋" w:eastAsia="仿宋" w:cs="仿宋"/>
          <w:szCs w:val="21"/>
        </w:rPr>
      </w:pPr>
    </w:p>
    <w:p w14:paraId="1D47F2A2">
      <w:pPr>
        <w:spacing w:line="400" w:lineRule="exact"/>
        <w:rPr>
          <w:rFonts w:hint="eastAsia" w:ascii="仿宋" w:hAnsi="仿宋" w:eastAsia="仿宋" w:cs="仿宋"/>
          <w:szCs w:val="21"/>
        </w:rPr>
      </w:pPr>
    </w:p>
    <w:p w14:paraId="6C3402E5">
      <w:pPr>
        <w:spacing w:line="400" w:lineRule="exact"/>
        <w:rPr>
          <w:rFonts w:hint="eastAsia" w:ascii="仿宋" w:hAnsi="仿宋" w:eastAsia="仿宋" w:cs="仿宋"/>
          <w:szCs w:val="21"/>
        </w:rPr>
      </w:pPr>
    </w:p>
    <w:p w14:paraId="2260076D">
      <w:pPr>
        <w:spacing w:line="400" w:lineRule="exact"/>
        <w:rPr>
          <w:rFonts w:hint="eastAsia" w:ascii="仿宋" w:hAnsi="仿宋" w:eastAsia="仿宋" w:cs="仿宋"/>
          <w:szCs w:val="21"/>
        </w:rPr>
      </w:pPr>
      <w:r>
        <w:rPr>
          <w:rFonts w:hint="eastAsia" w:ascii="仿宋" w:hAnsi="仿宋" w:eastAsia="仿宋" w:cs="仿宋"/>
          <w:szCs w:val="21"/>
        </w:rPr>
        <w:t xml:space="preserve">                          </w:t>
      </w:r>
    </w:p>
    <w:p w14:paraId="59099A5E">
      <w:pPr>
        <w:spacing w:line="400" w:lineRule="exact"/>
        <w:rPr>
          <w:rFonts w:hint="eastAsia" w:ascii="仿宋" w:hAnsi="仿宋" w:eastAsia="仿宋" w:cs="仿宋"/>
          <w:szCs w:val="21"/>
        </w:rPr>
      </w:pPr>
    </w:p>
    <w:p w14:paraId="6073E3B6">
      <w:pPr>
        <w:spacing w:line="400" w:lineRule="exact"/>
        <w:rPr>
          <w:rFonts w:hint="eastAsia" w:ascii="仿宋" w:hAnsi="仿宋" w:eastAsia="仿宋" w:cs="仿宋"/>
          <w:szCs w:val="21"/>
        </w:rPr>
      </w:pPr>
    </w:p>
    <w:p w14:paraId="58F3959B">
      <w:pPr>
        <w:spacing w:line="400" w:lineRule="exact"/>
        <w:rPr>
          <w:rFonts w:hint="eastAsia" w:ascii="仿宋" w:hAnsi="仿宋" w:eastAsia="仿宋" w:cs="仿宋"/>
          <w:szCs w:val="21"/>
        </w:rPr>
      </w:pPr>
    </w:p>
    <w:p w14:paraId="13BF4902">
      <w:pPr>
        <w:spacing w:line="400" w:lineRule="exact"/>
        <w:ind w:firstLine="4305" w:firstLineChars="2050"/>
        <w:rPr>
          <w:rFonts w:hint="eastAsia" w:ascii="仿宋" w:hAnsi="仿宋" w:eastAsia="仿宋" w:cs="仿宋"/>
          <w:szCs w:val="21"/>
        </w:rPr>
      </w:pPr>
    </w:p>
    <w:p w14:paraId="2C608235">
      <w:pPr>
        <w:spacing w:line="400" w:lineRule="exact"/>
        <w:ind w:firstLine="3780" w:firstLineChars="1800"/>
        <w:rPr>
          <w:rFonts w:hint="eastAsia" w:ascii="仿宋" w:hAnsi="仿宋" w:eastAsia="仿宋" w:cs="仿宋"/>
          <w:szCs w:val="21"/>
        </w:rPr>
      </w:pPr>
      <w:r>
        <w:rPr>
          <w:rFonts w:hint="eastAsia" w:ascii="仿宋" w:hAnsi="仿宋" w:eastAsia="仿宋" w:cs="仿宋"/>
          <w:szCs w:val="21"/>
        </w:rPr>
        <w:t>投标单位名称：</w:t>
      </w:r>
      <w:r>
        <w:rPr>
          <w:rFonts w:hint="eastAsia" w:ascii="仿宋" w:hAnsi="仿宋" w:eastAsia="仿宋" w:cs="仿宋"/>
          <w:szCs w:val="21"/>
          <w:u w:val="single"/>
        </w:rPr>
        <w:t xml:space="preserve">               </w:t>
      </w:r>
      <w:r>
        <w:rPr>
          <w:rFonts w:hint="eastAsia" w:ascii="仿宋" w:hAnsi="仿宋" w:eastAsia="仿宋" w:cs="仿宋"/>
          <w:szCs w:val="21"/>
        </w:rPr>
        <w:t>（盖单位公章）</w:t>
      </w:r>
    </w:p>
    <w:p w14:paraId="0D6FF2BD">
      <w:pPr>
        <w:spacing w:line="400" w:lineRule="exact"/>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p>
    <w:p w14:paraId="1ABFFB14">
      <w:pPr>
        <w:pStyle w:val="14"/>
        <w:numPr>
          <w:ilvl w:val="1"/>
          <w:numId w:val="0"/>
        </w:numPr>
        <w:tabs>
          <w:tab w:val="left" w:pos="602"/>
        </w:tabs>
        <w:snapToGrid w:val="0"/>
        <w:spacing w:before="120" w:after="120" w:line="400" w:lineRule="exact"/>
        <w:jc w:val="left"/>
        <w:outlineLvl w:val="2"/>
        <w:rPr>
          <w:rFonts w:hint="eastAsia" w:ascii="仿宋" w:hAnsi="仿宋" w:eastAsia="仿宋" w:cs="仿宋"/>
          <w:sz w:val="24"/>
          <w:szCs w:val="24"/>
        </w:rPr>
      </w:pPr>
      <w:r>
        <w:rPr>
          <w:rFonts w:hint="eastAsia" w:ascii="仿宋" w:hAnsi="仿宋" w:eastAsia="仿宋" w:cs="仿宋"/>
          <w:szCs w:val="21"/>
        </w:rPr>
        <w:br w:type="page"/>
      </w:r>
      <w:bookmarkStart w:id="701" w:name="_Toc18981"/>
      <w:bookmarkStart w:id="702" w:name="_Toc438052122"/>
      <w:bookmarkStart w:id="703" w:name="_Toc1494"/>
      <w:bookmarkStart w:id="704" w:name="_Toc24324"/>
      <w:r>
        <w:rPr>
          <w:rFonts w:hint="eastAsia" w:ascii="仿宋" w:hAnsi="仿宋" w:eastAsia="仿宋" w:cs="仿宋"/>
          <w:sz w:val="24"/>
          <w:szCs w:val="21"/>
          <w:lang w:val="en-US" w:eastAsia="zh-CN"/>
        </w:rPr>
        <w:t>3</w:t>
      </w:r>
      <w:r>
        <w:rPr>
          <w:rFonts w:hint="eastAsia" w:ascii="仿宋" w:hAnsi="仿宋" w:eastAsia="仿宋" w:cs="仿宋"/>
          <w:sz w:val="24"/>
          <w:szCs w:val="21"/>
        </w:rPr>
        <w:t>.法定代表人授权委托书</w:t>
      </w:r>
      <w:bookmarkEnd w:id="701"/>
      <w:bookmarkEnd w:id="702"/>
      <w:bookmarkEnd w:id="703"/>
      <w:bookmarkEnd w:id="704"/>
    </w:p>
    <w:p w14:paraId="520FED81">
      <w:pPr>
        <w:spacing w:line="400" w:lineRule="exact"/>
        <w:jc w:val="center"/>
        <w:rPr>
          <w:rFonts w:hint="eastAsia" w:ascii="仿宋" w:hAnsi="仿宋" w:eastAsia="仿宋" w:cs="仿宋"/>
          <w:b/>
          <w:sz w:val="24"/>
        </w:rPr>
      </w:pPr>
    </w:p>
    <w:p w14:paraId="48175364">
      <w:pPr>
        <w:spacing w:line="400" w:lineRule="exact"/>
        <w:jc w:val="center"/>
        <w:rPr>
          <w:rFonts w:hint="eastAsia" w:ascii="仿宋" w:hAnsi="仿宋" w:eastAsia="仿宋" w:cs="仿宋"/>
          <w:b/>
          <w:sz w:val="24"/>
        </w:rPr>
      </w:pPr>
      <w:r>
        <w:rPr>
          <w:rFonts w:hint="eastAsia" w:ascii="仿宋" w:hAnsi="仿宋" w:eastAsia="仿宋" w:cs="仿宋"/>
          <w:b/>
          <w:sz w:val="24"/>
        </w:rPr>
        <w:t>法定代表人授权委托书</w:t>
      </w:r>
    </w:p>
    <w:p w14:paraId="41E701E3">
      <w:pPr>
        <w:spacing w:line="400" w:lineRule="exact"/>
        <w:jc w:val="center"/>
        <w:rPr>
          <w:rFonts w:hint="eastAsia" w:ascii="仿宋" w:hAnsi="仿宋" w:eastAsia="仿宋" w:cs="仿宋"/>
          <w:b/>
          <w:sz w:val="24"/>
        </w:rPr>
      </w:pPr>
    </w:p>
    <w:p w14:paraId="56404425">
      <w:pPr>
        <w:topLinePunct/>
        <w:snapToGrid w:val="0"/>
        <w:spacing w:line="400" w:lineRule="exact"/>
        <w:ind w:firstLine="420" w:firstLineChars="200"/>
        <w:rPr>
          <w:rFonts w:hint="eastAsia" w:ascii="仿宋" w:hAnsi="仿宋" w:eastAsia="仿宋" w:cs="仿宋"/>
          <w:bCs/>
          <w:szCs w:val="21"/>
        </w:rPr>
      </w:pPr>
      <w:r>
        <w:rPr>
          <w:rFonts w:hint="eastAsia" w:ascii="仿宋" w:hAnsi="仿宋" w:eastAsia="仿宋" w:cs="仿宋"/>
          <w:bCs/>
          <w:szCs w:val="21"/>
        </w:rPr>
        <w:t>本人</w:t>
      </w:r>
      <w:r>
        <w:rPr>
          <w:rFonts w:hint="eastAsia" w:ascii="仿宋" w:hAnsi="仿宋" w:eastAsia="仿宋" w:cs="仿宋"/>
          <w:bCs/>
          <w:szCs w:val="21"/>
          <w:u w:val="single"/>
        </w:rPr>
        <w:t xml:space="preserve">   （姓名）    </w:t>
      </w:r>
      <w:r>
        <w:rPr>
          <w:rFonts w:hint="eastAsia" w:ascii="仿宋" w:hAnsi="仿宋" w:eastAsia="仿宋" w:cs="仿宋"/>
          <w:bCs/>
          <w:szCs w:val="21"/>
        </w:rPr>
        <w:t xml:space="preserve">系 </w:t>
      </w:r>
      <w:r>
        <w:rPr>
          <w:rFonts w:hint="eastAsia" w:ascii="仿宋" w:hAnsi="仿宋" w:eastAsia="仿宋" w:cs="仿宋"/>
          <w:bCs/>
          <w:szCs w:val="21"/>
          <w:u w:val="single"/>
        </w:rPr>
        <w:t xml:space="preserve">    （投标单位名称）   </w:t>
      </w:r>
      <w:r>
        <w:rPr>
          <w:rFonts w:hint="eastAsia" w:ascii="仿宋" w:hAnsi="仿宋" w:eastAsia="仿宋" w:cs="仿宋"/>
          <w:bCs/>
          <w:szCs w:val="21"/>
        </w:rPr>
        <w:t>的法定代表人，现委托</w:t>
      </w:r>
      <w:r>
        <w:rPr>
          <w:rFonts w:hint="eastAsia" w:ascii="仿宋" w:hAnsi="仿宋" w:eastAsia="仿宋" w:cs="仿宋"/>
          <w:bCs/>
          <w:szCs w:val="21"/>
          <w:u w:val="single"/>
        </w:rPr>
        <w:t xml:space="preserve">  （姓名）     </w:t>
      </w:r>
      <w:r>
        <w:rPr>
          <w:rFonts w:hint="eastAsia" w:ascii="仿宋" w:hAnsi="仿宋" w:eastAsia="仿宋" w:cs="仿宋"/>
          <w:bCs/>
          <w:szCs w:val="21"/>
        </w:rPr>
        <w:t>为我方代理人。代理人根据授权，以我方名义全权处理</w:t>
      </w:r>
      <w:r>
        <w:rPr>
          <w:rFonts w:hint="eastAsia" w:ascii="仿宋" w:hAnsi="仿宋" w:eastAsia="仿宋" w:cs="仿宋"/>
          <w:bCs/>
          <w:szCs w:val="21"/>
          <w:u w:val="single"/>
        </w:rPr>
        <w:t xml:space="preserve">       （招标项目名称）            （签署、澄清、说明、补正、递交、撤回、修改投标文件，签订合同和处理一切有关事宜）  </w:t>
      </w:r>
      <w:r>
        <w:rPr>
          <w:rFonts w:hint="eastAsia" w:ascii="仿宋" w:hAnsi="仿宋" w:eastAsia="仿宋" w:cs="仿宋"/>
          <w:bCs/>
          <w:szCs w:val="21"/>
        </w:rPr>
        <w:t>，其法律后果由我方承担。</w:t>
      </w:r>
    </w:p>
    <w:p w14:paraId="7A8321BE">
      <w:pPr>
        <w:topLinePunct/>
        <w:snapToGrid w:val="0"/>
        <w:spacing w:line="400" w:lineRule="exact"/>
        <w:ind w:firstLine="420" w:firstLineChars="200"/>
        <w:rPr>
          <w:rFonts w:hint="eastAsia" w:ascii="仿宋" w:hAnsi="仿宋" w:eastAsia="仿宋" w:cs="仿宋"/>
          <w:bCs/>
          <w:szCs w:val="21"/>
        </w:rPr>
      </w:pPr>
      <w:r>
        <w:rPr>
          <w:rFonts w:hint="eastAsia" w:ascii="仿宋" w:hAnsi="仿宋" w:eastAsia="仿宋" w:cs="仿宋"/>
          <w:bCs/>
          <w:szCs w:val="21"/>
        </w:rPr>
        <w:t>委托期限：</w:t>
      </w:r>
      <w:r>
        <w:rPr>
          <w:rFonts w:hint="eastAsia" w:ascii="仿宋" w:hAnsi="仿宋" w:eastAsia="仿宋" w:cs="仿宋"/>
          <w:bCs/>
          <w:szCs w:val="21"/>
          <w:u w:val="single"/>
        </w:rPr>
        <w:t xml:space="preserve">       </w:t>
      </w:r>
      <w:r>
        <w:rPr>
          <w:rFonts w:hint="eastAsia" w:ascii="仿宋" w:hAnsi="仿宋" w:eastAsia="仿宋" w:cs="仿宋"/>
          <w:bCs/>
          <w:szCs w:val="21"/>
        </w:rPr>
        <w:t>。</w:t>
      </w:r>
    </w:p>
    <w:p w14:paraId="13B28238">
      <w:pPr>
        <w:topLinePunct/>
        <w:snapToGrid w:val="0"/>
        <w:spacing w:line="400" w:lineRule="exact"/>
        <w:ind w:firstLine="420" w:firstLineChars="200"/>
        <w:rPr>
          <w:rFonts w:hint="eastAsia" w:ascii="仿宋" w:hAnsi="仿宋" w:eastAsia="仿宋" w:cs="仿宋"/>
          <w:bCs/>
          <w:szCs w:val="21"/>
        </w:rPr>
      </w:pPr>
      <w:r>
        <w:rPr>
          <w:rFonts w:hint="eastAsia" w:ascii="仿宋" w:hAnsi="仿宋" w:eastAsia="仿宋" w:cs="仿宋"/>
          <w:bCs/>
          <w:szCs w:val="21"/>
        </w:rPr>
        <w:t>代理人无转委托权。</w:t>
      </w:r>
    </w:p>
    <w:p w14:paraId="423A4C20">
      <w:pPr>
        <w:topLinePunct/>
        <w:snapToGrid w:val="0"/>
        <w:spacing w:line="400" w:lineRule="exact"/>
        <w:ind w:firstLine="420" w:firstLineChars="200"/>
        <w:rPr>
          <w:rFonts w:hint="eastAsia" w:ascii="仿宋" w:hAnsi="仿宋" w:eastAsia="仿宋" w:cs="仿宋"/>
          <w:bCs/>
          <w:szCs w:val="21"/>
        </w:rPr>
      </w:pPr>
    </w:p>
    <w:p w14:paraId="518740CA">
      <w:pPr>
        <w:topLinePunct/>
        <w:snapToGrid w:val="0"/>
        <w:spacing w:line="400" w:lineRule="exact"/>
        <w:ind w:firstLine="420" w:firstLineChars="200"/>
        <w:rPr>
          <w:rFonts w:hint="eastAsia" w:ascii="仿宋" w:hAnsi="仿宋" w:eastAsia="仿宋" w:cs="仿宋"/>
          <w:szCs w:val="21"/>
        </w:rPr>
      </w:pPr>
      <w:r>
        <w:rPr>
          <w:rFonts w:hint="eastAsia" w:ascii="仿宋" w:hAnsi="仿宋" w:eastAsia="仿宋" w:cs="仿宋"/>
          <w:bCs/>
          <w:szCs w:val="21"/>
        </w:rPr>
        <w:t>附：委托代理人身份证复印件(需同时提供正面及背面)</w:t>
      </w:r>
    </w:p>
    <w:p w14:paraId="4CCD6511">
      <w:pPr>
        <w:spacing w:line="400" w:lineRule="exact"/>
        <w:rPr>
          <w:rFonts w:hint="eastAsia" w:ascii="仿宋" w:hAnsi="仿宋" w:eastAsia="仿宋" w:cs="仿宋"/>
          <w:szCs w:val="21"/>
        </w:rPr>
      </w:pPr>
    </w:p>
    <w:p w14:paraId="7EAB154A">
      <w:pPr>
        <w:spacing w:line="400" w:lineRule="exact"/>
        <w:rPr>
          <w:rFonts w:hint="eastAsia" w:ascii="仿宋" w:hAnsi="仿宋" w:eastAsia="仿宋" w:cs="仿宋"/>
          <w:szCs w:val="21"/>
        </w:rPr>
      </w:pPr>
    </w:p>
    <w:p w14:paraId="045CA91A">
      <w:pPr>
        <w:spacing w:line="400" w:lineRule="exact"/>
        <w:rPr>
          <w:rFonts w:hint="eastAsia" w:ascii="仿宋" w:hAnsi="仿宋" w:eastAsia="仿宋" w:cs="仿宋"/>
          <w:szCs w:val="21"/>
        </w:rPr>
      </w:pPr>
    </w:p>
    <w:p w14:paraId="71D00F9A">
      <w:pPr>
        <w:spacing w:line="400" w:lineRule="exact"/>
        <w:rPr>
          <w:rFonts w:hint="eastAsia" w:ascii="仿宋" w:hAnsi="仿宋" w:eastAsia="仿宋" w:cs="仿宋"/>
          <w:szCs w:val="21"/>
        </w:rPr>
      </w:pPr>
      <w:r>
        <w:rPr>
          <w:rFonts w:hint="eastAsia" w:ascii="仿宋" w:hAnsi="仿宋" w:eastAsia="仿宋" w:cs="仿宋"/>
          <w:szCs w:val="21"/>
        </w:rPr>
        <w:t xml:space="preserve">                          </w:t>
      </w:r>
    </w:p>
    <w:p w14:paraId="55F379E2">
      <w:pPr>
        <w:spacing w:line="400" w:lineRule="exact"/>
        <w:rPr>
          <w:rFonts w:hint="eastAsia" w:ascii="仿宋" w:hAnsi="仿宋" w:eastAsia="仿宋" w:cs="仿宋"/>
          <w:szCs w:val="21"/>
        </w:rPr>
      </w:pPr>
    </w:p>
    <w:p w14:paraId="7897C584">
      <w:pPr>
        <w:topLinePunct/>
        <w:snapToGrid w:val="0"/>
        <w:spacing w:line="400" w:lineRule="exact"/>
        <w:ind w:firstLine="420" w:firstLineChars="200"/>
        <w:jc w:val="center"/>
        <w:rPr>
          <w:rFonts w:hint="eastAsia" w:ascii="仿宋" w:hAnsi="仿宋" w:eastAsia="仿宋" w:cs="仿宋"/>
          <w:bCs/>
          <w:szCs w:val="21"/>
        </w:rPr>
      </w:pPr>
    </w:p>
    <w:p w14:paraId="718140CD">
      <w:pPr>
        <w:topLinePunct/>
        <w:snapToGrid w:val="0"/>
        <w:spacing w:line="400" w:lineRule="exact"/>
        <w:ind w:firstLine="2310" w:firstLineChars="1100"/>
        <w:rPr>
          <w:rFonts w:hint="eastAsia" w:ascii="仿宋" w:hAnsi="仿宋" w:eastAsia="仿宋" w:cs="仿宋"/>
          <w:bCs/>
          <w:szCs w:val="21"/>
        </w:rPr>
      </w:pPr>
      <w:r>
        <w:rPr>
          <w:rFonts w:hint="eastAsia" w:ascii="仿宋" w:hAnsi="仿宋" w:eastAsia="仿宋" w:cs="仿宋"/>
          <w:bCs/>
          <w:szCs w:val="21"/>
        </w:rPr>
        <w:t>投标单位名称：</w:t>
      </w:r>
      <w:r>
        <w:rPr>
          <w:rFonts w:hint="eastAsia" w:ascii="仿宋" w:hAnsi="仿宋" w:eastAsia="仿宋" w:cs="仿宋"/>
          <w:bCs/>
          <w:szCs w:val="21"/>
          <w:u w:val="single"/>
        </w:rPr>
        <w:t xml:space="preserve">                               </w:t>
      </w:r>
      <w:r>
        <w:rPr>
          <w:rFonts w:hint="eastAsia" w:ascii="仿宋" w:hAnsi="仿宋" w:eastAsia="仿宋" w:cs="仿宋"/>
          <w:bCs/>
          <w:szCs w:val="21"/>
        </w:rPr>
        <w:t>（盖单位公章）</w:t>
      </w:r>
    </w:p>
    <w:p w14:paraId="069FEF63">
      <w:pPr>
        <w:topLinePunct/>
        <w:snapToGrid w:val="0"/>
        <w:spacing w:line="400" w:lineRule="exact"/>
        <w:ind w:firstLine="2310" w:firstLineChars="1100"/>
        <w:rPr>
          <w:rFonts w:hint="eastAsia" w:ascii="仿宋" w:hAnsi="仿宋" w:eastAsia="仿宋" w:cs="仿宋"/>
          <w:bCs/>
          <w:szCs w:val="21"/>
        </w:rPr>
      </w:pPr>
      <w:r>
        <w:rPr>
          <w:rFonts w:hint="eastAsia" w:ascii="仿宋" w:hAnsi="仿宋" w:eastAsia="仿宋" w:cs="仿宋"/>
          <w:bCs/>
          <w:szCs w:val="21"/>
        </w:rPr>
        <w:t>法定代表人：</w:t>
      </w:r>
      <w:r>
        <w:rPr>
          <w:rFonts w:hint="eastAsia" w:ascii="仿宋" w:hAnsi="仿宋" w:eastAsia="仿宋" w:cs="仿宋"/>
          <w:bCs/>
          <w:szCs w:val="21"/>
          <w:u w:val="single"/>
        </w:rPr>
        <w:t xml:space="preserve">                               </w:t>
      </w:r>
      <w:r>
        <w:rPr>
          <w:rFonts w:hint="eastAsia" w:ascii="仿宋" w:hAnsi="仿宋" w:eastAsia="仿宋" w:cs="仿宋"/>
          <w:bCs/>
          <w:szCs w:val="21"/>
        </w:rPr>
        <w:t>（签字或签名章）</w:t>
      </w:r>
    </w:p>
    <w:p w14:paraId="40AF66A2">
      <w:pPr>
        <w:topLinePunct/>
        <w:snapToGrid w:val="0"/>
        <w:spacing w:line="400" w:lineRule="exact"/>
        <w:ind w:firstLine="2310" w:firstLineChars="1100"/>
        <w:rPr>
          <w:rFonts w:hint="eastAsia" w:ascii="仿宋" w:hAnsi="仿宋" w:eastAsia="仿宋" w:cs="仿宋"/>
          <w:bCs/>
          <w:szCs w:val="21"/>
        </w:rPr>
      </w:pPr>
      <w:r>
        <w:rPr>
          <w:rFonts w:hint="eastAsia" w:ascii="仿宋" w:hAnsi="仿宋" w:eastAsia="仿宋" w:cs="仿宋"/>
          <w:bCs/>
          <w:szCs w:val="21"/>
        </w:rPr>
        <w:t>身份证号码：</w:t>
      </w:r>
      <w:r>
        <w:rPr>
          <w:rFonts w:hint="eastAsia" w:ascii="仿宋" w:hAnsi="仿宋" w:eastAsia="仿宋" w:cs="仿宋"/>
          <w:bCs/>
          <w:szCs w:val="21"/>
          <w:u w:val="single"/>
        </w:rPr>
        <w:t xml:space="preserve">                                </w:t>
      </w:r>
      <w:r>
        <w:rPr>
          <w:rFonts w:hint="eastAsia" w:ascii="仿宋" w:hAnsi="仿宋" w:eastAsia="仿宋" w:cs="仿宋"/>
          <w:bCs/>
          <w:szCs w:val="21"/>
        </w:rPr>
        <w:t xml:space="preserve">     </w:t>
      </w:r>
    </w:p>
    <w:p w14:paraId="24011B23">
      <w:pPr>
        <w:topLinePunct/>
        <w:snapToGrid w:val="0"/>
        <w:spacing w:line="400" w:lineRule="exact"/>
        <w:ind w:firstLine="2310" w:firstLineChars="1100"/>
        <w:rPr>
          <w:rFonts w:hint="eastAsia" w:ascii="仿宋" w:hAnsi="仿宋" w:eastAsia="仿宋" w:cs="仿宋"/>
          <w:bCs/>
          <w:szCs w:val="21"/>
        </w:rPr>
      </w:pPr>
      <w:r>
        <w:rPr>
          <w:rFonts w:hint="eastAsia" w:ascii="仿宋" w:hAnsi="仿宋" w:eastAsia="仿宋" w:cs="仿宋"/>
          <w:bCs/>
          <w:szCs w:val="21"/>
        </w:rPr>
        <w:t>委托代理人：</w:t>
      </w:r>
      <w:r>
        <w:rPr>
          <w:rFonts w:hint="eastAsia" w:ascii="仿宋" w:hAnsi="仿宋" w:eastAsia="仿宋" w:cs="仿宋"/>
          <w:bCs/>
          <w:szCs w:val="21"/>
          <w:u w:val="single"/>
        </w:rPr>
        <w:t xml:space="preserve">                              </w:t>
      </w:r>
      <w:r>
        <w:rPr>
          <w:rFonts w:hint="eastAsia" w:ascii="仿宋" w:hAnsi="仿宋" w:eastAsia="仿宋" w:cs="仿宋"/>
          <w:bCs/>
          <w:szCs w:val="21"/>
        </w:rPr>
        <w:t xml:space="preserve">（签字或签名章） </w:t>
      </w:r>
    </w:p>
    <w:p w14:paraId="597ACFBA">
      <w:pPr>
        <w:topLinePunct/>
        <w:snapToGrid w:val="0"/>
        <w:spacing w:line="400" w:lineRule="exact"/>
        <w:ind w:firstLine="2310" w:firstLineChars="1100"/>
        <w:rPr>
          <w:rFonts w:hint="eastAsia" w:ascii="仿宋" w:hAnsi="仿宋" w:eastAsia="仿宋" w:cs="仿宋"/>
          <w:bCs/>
          <w:szCs w:val="21"/>
        </w:rPr>
      </w:pPr>
      <w:r>
        <w:rPr>
          <w:rFonts w:hint="eastAsia" w:ascii="仿宋" w:hAnsi="仿宋" w:eastAsia="仿宋" w:cs="仿宋"/>
          <w:bCs/>
          <w:szCs w:val="21"/>
        </w:rPr>
        <w:t>身份证号码：</w:t>
      </w:r>
      <w:r>
        <w:rPr>
          <w:rFonts w:hint="eastAsia" w:ascii="仿宋" w:hAnsi="仿宋" w:eastAsia="仿宋" w:cs="仿宋"/>
          <w:bCs/>
          <w:szCs w:val="21"/>
          <w:u w:val="single"/>
        </w:rPr>
        <w:t xml:space="preserve">                               </w:t>
      </w:r>
      <w:r>
        <w:rPr>
          <w:rFonts w:hint="eastAsia" w:ascii="仿宋" w:hAnsi="仿宋" w:eastAsia="仿宋" w:cs="仿宋"/>
          <w:bCs/>
          <w:szCs w:val="21"/>
        </w:rPr>
        <w:t xml:space="preserve">      </w:t>
      </w:r>
    </w:p>
    <w:p w14:paraId="577FED62">
      <w:pPr>
        <w:widowControl/>
        <w:spacing w:line="400" w:lineRule="exact"/>
        <w:jc w:val="left"/>
        <w:rPr>
          <w:rFonts w:hint="eastAsia" w:ascii="仿宋" w:hAnsi="仿宋" w:eastAsia="仿宋" w:cs="仿宋"/>
          <w:b/>
          <w:bCs/>
          <w:sz w:val="24"/>
        </w:rPr>
      </w:pPr>
      <w:r>
        <w:rPr>
          <w:rFonts w:hint="eastAsia" w:ascii="仿宋" w:hAnsi="仿宋" w:eastAsia="仿宋" w:cs="仿宋"/>
          <w:bCs/>
          <w:szCs w:val="21"/>
        </w:rPr>
        <w:t xml:space="preserve">                     </w:t>
      </w:r>
      <w:r>
        <w:rPr>
          <w:rFonts w:hint="eastAsia" w:ascii="仿宋" w:hAnsi="仿宋" w:eastAsia="仿宋" w:cs="仿宋"/>
          <w:bCs/>
          <w:szCs w:val="21"/>
          <w:u w:val="single"/>
        </w:rPr>
        <w:t xml:space="preserve">         </w:t>
      </w:r>
      <w:r>
        <w:rPr>
          <w:rFonts w:hint="eastAsia" w:ascii="仿宋" w:hAnsi="仿宋" w:eastAsia="仿宋" w:cs="仿宋"/>
          <w:bCs/>
          <w:szCs w:val="21"/>
        </w:rPr>
        <w:t xml:space="preserve">年 </w:t>
      </w:r>
      <w:r>
        <w:rPr>
          <w:rFonts w:hint="eastAsia" w:ascii="仿宋" w:hAnsi="仿宋" w:eastAsia="仿宋" w:cs="仿宋"/>
          <w:bCs/>
          <w:szCs w:val="21"/>
          <w:u w:val="single"/>
        </w:rPr>
        <w:t xml:space="preserve">      </w:t>
      </w:r>
      <w:r>
        <w:rPr>
          <w:rFonts w:hint="eastAsia" w:ascii="仿宋" w:hAnsi="仿宋" w:eastAsia="仿宋" w:cs="仿宋"/>
          <w:bCs/>
          <w:szCs w:val="21"/>
        </w:rPr>
        <w:t xml:space="preserve">月 </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61C2A822">
      <w:pPr>
        <w:pStyle w:val="14"/>
        <w:numPr>
          <w:ilvl w:val="1"/>
          <w:numId w:val="0"/>
        </w:numPr>
        <w:tabs>
          <w:tab w:val="left" w:pos="602"/>
        </w:tabs>
        <w:snapToGrid w:val="0"/>
        <w:spacing w:before="120" w:after="120" w:line="400" w:lineRule="exact"/>
        <w:jc w:val="left"/>
        <w:outlineLvl w:val="2"/>
        <w:rPr>
          <w:rFonts w:hint="eastAsia" w:ascii="仿宋" w:hAnsi="仿宋" w:eastAsia="仿宋" w:cs="仿宋"/>
          <w:sz w:val="24"/>
          <w:szCs w:val="21"/>
        </w:rPr>
      </w:pPr>
      <w:bookmarkStart w:id="705" w:name="_Toc24147"/>
      <w:r>
        <w:rPr>
          <w:rFonts w:hint="eastAsia" w:ascii="仿宋" w:hAnsi="仿宋" w:eastAsia="仿宋" w:cs="仿宋"/>
          <w:sz w:val="24"/>
          <w:szCs w:val="21"/>
        </w:rPr>
        <w:br w:type="page"/>
      </w:r>
      <w:bookmarkStart w:id="706" w:name="_Toc21022"/>
      <w:bookmarkStart w:id="707" w:name="_Toc31136"/>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4"/>
        </w:rPr>
        <w:t>投标人控股及管理关系情况申报表</w:t>
      </w:r>
      <w:bookmarkEnd w:id="705"/>
      <w:bookmarkEnd w:id="706"/>
      <w:bookmarkEnd w:id="707"/>
    </w:p>
    <w:p w14:paraId="03B910E6">
      <w:pPr>
        <w:pStyle w:val="20"/>
        <w:spacing w:line="400" w:lineRule="exact"/>
        <w:ind w:firstLine="0" w:firstLineChars="0"/>
        <w:jc w:val="center"/>
        <w:rPr>
          <w:rFonts w:hint="eastAsia" w:ascii="仿宋" w:hAnsi="仿宋" w:eastAsia="仿宋" w:cs="仿宋"/>
          <w:b/>
          <w:sz w:val="24"/>
        </w:rPr>
      </w:pPr>
    </w:p>
    <w:p w14:paraId="6DC9F449">
      <w:pPr>
        <w:pStyle w:val="20"/>
        <w:spacing w:line="400" w:lineRule="exact"/>
        <w:ind w:firstLine="0" w:firstLineChars="0"/>
        <w:jc w:val="center"/>
        <w:rPr>
          <w:rFonts w:hint="eastAsia" w:ascii="仿宋" w:hAnsi="仿宋" w:eastAsia="仿宋" w:cs="仿宋"/>
          <w:b/>
          <w:sz w:val="24"/>
        </w:rPr>
      </w:pPr>
      <w:r>
        <w:rPr>
          <w:rFonts w:hint="eastAsia" w:ascii="仿宋" w:hAnsi="仿宋" w:eastAsia="仿宋" w:cs="仿宋"/>
          <w:b/>
          <w:sz w:val="24"/>
        </w:rPr>
        <w:t>投标人控股及管理关系情况申报表</w:t>
      </w:r>
    </w:p>
    <w:p w14:paraId="77AD7F37">
      <w:pPr>
        <w:adjustRightInd w:val="0"/>
        <w:snapToGrid w:val="0"/>
        <w:spacing w:line="400" w:lineRule="exact"/>
        <w:rPr>
          <w:rFonts w:hint="eastAsia" w:ascii="仿宋" w:hAnsi="仿宋" w:eastAsia="仿宋" w:cs="仿宋"/>
        </w:rPr>
      </w:pPr>
      <w:r>
        <w:rPr>
          <w:rFonts w:hint="eastAsia" w:ascii="仿宋" w:hAnsi="仿宋" w:eastAsia="仿宋" w:cs="仿宋"/>
        </w:rPr>
        <w:t>致：</w:t>
      </w:r>
      <w:r>
        <w:rPr>
          <w:rFonts w:hint="eastAsia" w:ascii="仿宋" w:hAnsi="仿宋" w:eastAsia="仿宋" w:cs="仿宋"/>
          <w:u w:val="single"/>
        </w:rPr>
        <w:t xml:space="preserve">     （招标人名称）     </w:t>
      </w:r>
      <w:r>
        <w:rPr>
          <w:rFonts w:hint="eastAsia" w:ascii="仿宋" w:hAnsi="仿宋" w:eastAsia="仿宋" w:cs="仿宋"/>
        </w:rPr>
        <w:t>：</w:t>
      </w:r>
    </w:p>
    <w:p w14:paraId="55F653FF">
      <w:pPr>
        <w:adjustRightInd w:val="0"/>
        <w:snapToGrid w:val="0"/>
        <w:spacing w:line="400" w:lineRule="exact"/>
        <w:ind w:firstLine="420" w:firstLineChars="200"/>
        <w:rPr>
          <w:rFonts w:hint="eastAsia" w:ascii="仿宋" w:hAnsi="仿宋" w:eastAsia="仿宋" w:cs="仿宋"/>
        </w:rPr>
      </w:pPr>
      <w:r>
        <w:rPr>
          <w:rFonts w:hint="eastAsia" w:ascii="仿宋" w:hAnsi="仿宋" w:eastAsia="仿宋" w:cs="仿宋"/>
        </w:rPr>
        <w:t>我方参加</w:t>
      </w:r>
      <w:r>
        <w:rPr>
          <w:rFonts w:hint="eastAsia" w:ascii="仿宋" w:hAnsi="仿宋" w:eastAsia="仿宋" w:cs="仿宋"/>
          <w:u w:val="single"/>
        </w:rPr>
        <w:t xml:space="preserve">           </w:t>
      </w:r>
      <w:r>
        <w:rPr>
          <w:rFonts w:hint="eastAsia" w:ascii="仿宋" w:hAnsi="仿宋" w:eastAsia="仿宋" w:cs="仿宋"/>
        </w:rPr>
        <w:t>（招标项目名称）的投标，根据法律法规维护投标公正性的相关规定，特就本单位控股及管理关系情况申报如下，并承担申报不实的责任。</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257"/>
        <w:gridCol w:w="3655"/>
      </w:tblGrid>
      <w:tr w14:paraId="77761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2448" w:type="dxa"/>
            <w:vAlign w:val="center"/>
          </w:tcPr>
          <w:p w14:paraId="66013095">
            <w:pPr>
              <w:adjustRightInd w:val="0"/>
              <w:snapToGrid w:val="0"/>
              <w:spacing w:after="0" w:line="400" w:lineRule="exact"/>
              <w:rPr>
                <w:rFonts w:hint="eastAsia" w:ascii="仿宋" w:hAnsi="仿宋" w:eastAsia="仿宋" w:cs="仿宋"/>
              </w:rPr>
            </w:pPr>
            <w:r>
              <w:rPr>
                <w:rFonts w:hint="eastAsia" w:ascii="仿宋" w:hAnsi="仿宋" w:eastAsia="仿宋" w:cs="仿宋"/>
              </w:rPr>
              <w:t>申报人名称</w:t>
            </w:r>
          </w:p>
        </w:tc>
        <w:tc>
          <w:tcPr>
            <w:tcW w:w="5912" w:type="dxa"/>
            <w:gridSpan w:val="2"/>
            <w:vAlign w:val="center"/>
          </w:tcPr>
          <w:p w14:paraId="56B1A0E4">
            <w:pPr>
              <w:adjustRightInd w:val="0"/>
              <w:snapToGrid w:val="0"/>
              <w:spacing w:after="0" w:line="400" w:lineRule="exact"/>
              <w:rPr>
                <w:rFonts w:hint="eastAsia" w:ascii="仿宋" w:hAnsi="仿宋" w:eastAsia="仿宋" w:cs="仿宋"/>
              </w:rPr>
            </w:pPr>
          </w:p>
        </w:tc>
      </w:tr>
      <w:tr w14:paraId="6DF18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2448" w:type="dxa"/>
            <w:vMerge w:val="restart"/>
            <w:vAlign w:val="center"/>
          </w:tcPr>
          <w:p w14:paraId="09ABCE55">
            <w:pPr>
              <w:adjustRightInd w:val="0"/>
              <w:snapToGrid w:val="0"/>
              <w:spacing w:after="0" w:line="400" w:lineRule="exact"/>
              <w:rPr>
                <w:rFonts w:hint="eastAsia" w:ascii="仿宋" w:hAnsi="仿宋" w:eastAsia="仿宋" w:cs="仿宋"/>
              </w:rPr>
            </w:pPr>
            <w:r>
              <w:rPr>
                <w:rFonts w:hint="eastAsia" w:ascii="仿宋" w:hAnsi="仿宋" w:eastAsia="仿宋" w:cs="仿宋"/>
              </w:rPr>
              <w:t>法定代表人/单位负责人</w:t>
            </w:r>
          </w:p>
        </w:tc>
        <w:tc>
          <w:tcPr>
            <w:tcW w:w="2257" w:type="dxa"/>
            <w:vAlign w:val="center"/>
          </w:tcPr>
          <w:p w14:paraId="1F17495B">
            <w:pPr>
              <w:adjustRightInd w:val="0"/>
              <w:snapToGrid w:val="0"/>
              <w:spacing w:after="0" w:line="400" w:lineRule="exact"/>
              <w:rPr>
                <w:rFonts w:hint="eastAsia" w:ascii="仿宋" w:hAnsi="仿宋" w:eastAsia="仿宋" w:cs="仿宋"/>
              </w:rPr>
            </w:pPr>
            <w:r>
              <w:rPr>
                <w:rFonts w:hint="eastAsia" w:ascii="仿宋" w:hAnsi="仿宋" w:eastAsia="仿宋" w:cs="仿宋"/>
              </w:rPr>
              <w:t>姓    名</w:t>
            </w:r>
          </w:p>
        </w:tc>
        <w:tc>
          <w:tcPr>
            <w:tcW w:w="3655" w:type="dxa"/>
            <w:vAlign w:val="center"/>
          </w:tcPr>
          <w:p w14:paraId="5B65DD8E">
            <w:pPr>
              <w:adjustRightInd w:val="0"/>
              <w:snapToGrid w:val="0"/>
              <w:spacing w:after="0" w:line="400" w:lineRule="exact"/>
              <w:rPr>
                <w:rFonts w:hint="eastAsia" w:ascii="仿宋" w:hAnsi="仿宋" w:eastAsia="仿宋" w:cs="仿宋"/>
              </w:rPr>
            </w:pPr>
          </w:p>
        </w:tc>
      </w:tr>
      <w:tr w14:paraId="6AC7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48" w:type="dxa"/>
            <w:vMerge w:val="continue"/>
            <w:vAlign w:val="center"/>
          </w:tcPr>
          <w:p w14:paraId="65863B7C">
            <w:pPr>
              <w:adjustRightInd w:val="0"/>
              <w:snapToGrid w:val="0"/>
              <w:spacing w:after="0" w:line="400" w:lineRule="exact"/>
              <w:rPr>
                <w:rFonts w:hint="eastAsia" w:ascii="仿宋" w:hAnsi="仿宋" w:eastAsia="仿宋" w:cs="仿宋"/>
              </w:rPr>
            </w:pPr>
          </w:p>
        </w:tc>
        <w:tc>
          <w:tcPr>
            <w:tcW w:w="2257" w:type="dxa"/>
            <w:vAlign w:val="center"/>
          </w:tcPr>
          <w:p w14:paraId="69A502C0">
            <w:pPr>
              <w:adjustRightInd w:val="0"/>
              <w:snapToGrid w:val="0"/>
              <w:spacing w:after="0" w:line="400" w:lineRule="exact"/>
              <w:rPr>
                <w:rFonts w:hint="eastAsia" w:ascii="仿宋" w:hAnsi="仿宋" w:eastAsia="仿宋" w:cs="仿宋"/>
              </w:rPr>
            </w:pPr>
            <w:r>
              <w:rPr>
                <w:rFonts w:hint="eastAsia" w:ascii="仿宋" w:hAnsi="仿宋" w:eastAsia="仿宋" w:cs="仿宋"/>
              </w:rPr>
              <w:t>身份证号</w:t>
            </w:r>
          </w:p>
        </w:tc>
        <w:tc>
          <w:tcPr>
            <w:tcW w:w="3655" w:type="dxa"/>
            <w:vAlign w:val="center"/>
          </w:tcPr>
          <w:p w14:paraId="7A675F81">
            <w:pPr>
              <w:adjustRightInd w:val="0"/>
              <w:snapToGrid w:val="0"/>
              <w:spacing w:after="0" w:line="400" w:lineRule="exact"/>
              <w:rPr>
                <w:rFonts w:hint="eastAsia" w:ascii="仿宋" w:hAnsi="仿宋" w:eastAsia="仿宋" w:cs="仿宋"/>
              </w:rPr>
            </w:pPr>
          </w:p>
        </w:tc>
      </w:tr>
      <w:tr w14:paraId="19982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2448" w:type="dxa"/>
            <w:vAlign w:val="center"/>
          </w:tcPr>
          <w:p w14:paraId="10820CDF">
            <w:pPr>
              <w:adjustRightInd w:val="0"/>
              <w:snapToGrid w:val="0"/>
              <w:spacing w:after="0" w:line="400" w:lineRule="exact"/>
              <w:rPr>
                <w:rFonts w:hint="eastAsia" w:ascii="仿宋" w:hAnsi="仿宋" w:eastAsia="仿宋" w:cs="仿宋"/>
              </w:rPr>
            </w:pPr>
            <w:r>
              <w:rPr>
                <w:rFonts w:hint="eastAsia" w:ascii="仿宋" w:hAnsi="仿宋" w:eastAsia="仿宋" w:cs="仿宋"/>
              </w:rPr>
              <w:t>控股股东/投资人名称</w:t>
            </w:r>
          </w:p>
          <w:p w14:paraId="68349383">
            <w:pPr>
              <w:adjustRightInd w:val="0"/>
              <w:snapToGrid w:val="0"/>
              <w:spacing w:after="0" w:line="400" w:lineRule="exact"/>
              <w:rPr>
                <w:rFonts w:hint="eastAsia" w:ascii="仿宋" w:hAnsi="仿宋" w:eastAsia="仿宋" w:cs="仿宋"/>
              </w:rPr>
            </w:pPr>
            <w:r>
              <w:rPr>
                <w:rFonts w:hint="eastAsia" w:ascii="仿宋" w:hAnsi="仿宋" w:eastAsia="仿宋" w:cs="仿宋"/>
              </w:rPr>
              <w:t>及出资比例</w:t>
            </w:r>
          </w:p>
        </w:tc>
        <w:tc>
          <w:tcPr>
            <w:tcW w:w="5912" w:type="dxa"/>
            <w:gridSpan w:val="2"/>
            <w:vAlign w:val="center"/>
          </w:tcPr>
          <w:p w14:paraId="440BF3E3">
            <w:pPr>
              <w:adjustRightInd w:val="0"/>
              <w:snapToGrid w:val="0"/>
              <w:spacing w:after="0" w:line="400" w:lineRule="exact"/>
              <w:rPr>
                <w:rFonts w:hint="eastAsia" w:ascii="仿宋" w:hAnsi="仿宋" w:eastAsia="仿宋" w:cs="仿宋"/>
              </w:rPr>
            </w:pPr>
          </w:p>
        </w:tc>
      </w:tr>
      <w:tr w14:paraId="507F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2448" w:type="dxa"/>
            <w:vAlign w:val="center"/>
          </w:tcPr>
          <w:p w14:paraId="7D7CEBC3">
            <w:pPr>
              <w:adjustRightInd w:val="0"/>
              <w:snapToGrid w:val="0"/>
              <w:spacing w:after="0" w:line="400" w:lineRule="exact"/>
              <w:rPr>
                <w:rFonts w:hint="eastAsia" w:ascii="仿宋" w:hAnsi="仿宋" w:eastAsia="仿宋" w:cs="仿宋"/>
              </w:rPr>
            </w:pPr>
            <w:r>
              <w:rPr>
                <w:rFonts w:hint="eastAsia" w:ascii="仿宋" w:hAnsi="仿宋" w:eastAsia="仿宋" w:cs="仿宋"/>
              </w:rPr>
              <w:t>非控股股东/投资人名称</w:t>
            </w:r>
          </w:p>
          <w:p w14:paraId="3C6D96FE">
            <w:pPr>
              <w:adjustRightInd w:val="0"/>
              <w:snapToGrid w:val="0"/>
              <w:spacing w:after="0" w:line="400" w:lineRule="exact"/>
              <w:rPr>
                <w:rFonts w:hint="eastAsia" w:ascii="仿宋" w:hAnsi="仿宋" w:eastAsia="仿宋" w:cs="仿宋"/>
              </w:rPr>
            </w:pPr>
            <w:r>
              <w:rPr>
                <w:rFonts w:hint="eastAsia" w:ascii="仿宋" w:hAnsi="仿宋" w:eastAsia="仿宋" w:cs="仿宋"/>
              </w:rPr>
              <w:t>及出资比例</w:t>
            </w:r>
          </w:p>
        </w:tc>
        <w:tc>
          <w:tcPr>
            <w:tcW w:w="5912" w:type="dxa"/>
            <w:gridSpan w:val="2"/>
            <w:vAlign w:val="center"/>
          </w:tcPr>
          <w:p w14:paraId="5346718D">
            <w:pPr>
              <w:adjustRightInd w:val="0"/>
              <w:snapToGrid w:val="0"/>
              <w:spacing w:after="0" w:line="400" w:lineRule="exact"/>
              <w:rPr>
                <w:rFonts w:hint="eastAsia" w:ascii="仿宋" w:hAnsi="仿宋" w:eastAsia="仿宋" w:cs="仿宋"/>
              </w:rPr>
            </w:pPr>
          </w:p>
        </w:tc>
      </w:tr>
      <w:tr w14:paraId="6D0A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2448" w:type="dxa"/>
            <w:vMerge w:val="restart"/>
            <w:vAlign w:val="center"/>
          </w:tcPr>
          <w:p w14:paraId="3844D2DE">
            <w:pPr>
              <w:adjustRightInd w:val="0"/>
              <w:snapToGrid w:val="0"/>
              <w:spacing w:after="0" w:line="400" w:lineRule="exact"/>
              <w:rPr>
                <w:rFonts w:hint="eastAsia" w:ascii="仿宋" w:hAnsi="仿宋" w:eastAsia="仿宋" w:cs="仿宋"/>
              </w:rPr>
            </w:pPr>
            <w:r>
              <w:rPr>
                <w:rFonts w:hint="eastAsia" w:ascii="仿宋" w:hAnsi="仿宋" w:eastAsia="仿宋" w:cs="仿宋"/>
              </w:rPr>
              <w:t>管理关系单位名称</w:t>
            </w:r>
          </w:p>
        </w:tc>
        <w:tc>
          <w:tcPr>
            <w:tcW w:w="2257" w:type="dxa"/>
            <w:vAlign w:val="center"/>
          </w:tcPr>
          <w:p w14:paraId="435A65B7">
            <w:pPr>
              <w:adjustRightInd w:val="0"/>
              <w:snapToGrid w:val="0"/>
              <w:spacing w:after="0" w:line="400" w:lineRule="exact"/>
              <w:rPr>
                <w:rFonts w:hint="eastAsia" w:ascii="仿宋" w:hAnsi="仿宋" w:eastAsia="仿宋" w:cs="仿宋"/>
              </w:rPr>
            </w:pPr>
            <w:r>
              <w:rPr>
                <w:rFonts w:hint="eastAsia" w:ascii="仿宋" w:hAnsi="仿宋" w:eastAsia="仿宋" w:cs="仿宋"/>
              </w:rPr>
              <w:t>管理关系单位名称</w:t>
            </w:r>
          </w:p>
        </w:tc>
        <w:tc>
          <w:tcPr>
            <w:tcW w:w="3655" w:type="dxa"/>
            <w:vAlign w:val="center"/>
          </w:tcPr>
          <w:p w14:paraId="7DFCF9DD">
            <w:pPr>
              <w:adjustRightInd w:val="0"/>
              <w:snapToGrid w:val="0"/>
              <w:spacing w:after="0" w:line="400" w:lineRule="exact"/>
              <w:rPr>
                <w:rFonts w:hint="eastAsia" w:ascii="仿宋" w:hAnsi="仿宋" w:eastAsia="仿宋" w:cs="仿宋"/>
              </w:rPr>
            </w:pPr>
          </w:p>
        </w:tc>
      </w:tr>
      <w:tr w14:paraId="3DC4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448" w:type="dxa"/>
            <w:vMerge w:val="continue"/>
            <w:vAlign w:val="center"/>
          </w:tcPr>
          <w:p w14:paraId="4992568A">
            <w:pPr>
              <w:adjustRightInd w:val="0"/>
              <w:snapToGrid w:val="0"/>
              <w:spacing w:after="0" w:line="400" w:lineRule="exact"/>
              <w:rPr>
                <w:rFonts w:hint="eastAsia" w:ascii="仿宋" w:hAnsi="仿宋" w:eastAsia="仿宋" w:cs="仿宋"/>
              </w:rPr>
            </w:pPr>
          </w:p>
        </w:tc>
        <w:tc>
          <w:tcPr>
            <w:tcW w:w="2257" w:type="dxa"/>
            <w:vAlign w:val="center"/>
          </w:tcPr>
          <w:p w14:paraId="0E0EC72D">
            <w:pPr>
              <w:adjustRightInd w:val="0"/>
              <w:snapToGrid w:val="0"/>
              <w:spacing w:after="0" w:line="400" w:lineRule="exact"/>
              <w:rPr>
                <w:rFonts w:hint="eastAsia" w:ascii="仿宋" w:hAnsi="仿宋" w:eastAsia="仿宋" w:cs="仿宋"/>
              </w:rPr>
            </w:pPr>
            <w:r>
              <w:rPr>
                <w:rFonts w:hint="eastAsia" w:ascii="仿宋" w:hAnsi="仿宋" w:eastAsia="仿宋" w:cs="仿宋"/>
              </w:rPr>
              <w:t>被管理关系单位名称</w:t>
            </w:r>
          </w:p>
        </w:tc>
        <w:tc>
          <w:tcPr>
            <w:tcW w:w="3655" w:type="dxa"/>
            <w:vAlign w:val="center"/>
          </w:tcPr>
          <w:p w14:paraId="67FBB10F">
            <w:pPr>
              <w:adjustRightInd w:val="0"/>
              <w:snapToGrid w:val="0"/>
              <w:spacing w:after="0" w:line="400" w:lineRule="exact"/>
              <w:rPr>
                <w:rFonts w:hint="eastAsia" w:ascii="仿宋" w:hAnsi="仿宋" w:eastAsia="仿宋" w:cs="仿宋"/>
              </w:rPr>
            </w:pPr>
          </w:p>
        </w:tc>
      </w:tr>
    </w:tbl>
    <w:p w14:paraId="3421A4B5">
      <w:pPr>
        <w:adjustRightInd w:val="0"/>
        <w:snapToGrid w:val="0"/>
        <w:spacing w:after="0" w:line="400" w:lineRule="exact"/>
        <w:rPr>
          <w:rFonts w:hint="eastAsia" w:ascii="仿宋" w:hAnsi="仿宋" w:eastAsia="仿宋" w:cs="仿宋"/>
        </w:rPr>
      </w:pPr>
      <w:r>
        <w:rPr>
          <w:rFonts w:hint="eastAsia" w:ascii="仿宋" w:hAnsi="仿宋" w:eastAsia="仿宋" w:cs="仿宋"/>
        </w:rPr>
        <w:t>注：</w:t>
      </w:r>
    </w:p>
    <w:p w14:paraId="09B893E4">
      <w:pPr>
        <w:pStyle w:val="20"/>
        <w:numPr>
          <w:ilvl w:val="3"/>
          <w:numId w:val="15"/>
        </w:numPr>
        <w:adjustRightInd w:val="0"/>
        <w:snapToGrid w:val="0"/>
        <w:spacing w:line="400" w:lineRule="exact"/>
        <w:ind w:left="0" w:firstLine="0" w:firstLineChars="0"/>
        <w:rPr>
          <w:rFonts w:hint="eastAsia" w:ascii="仿宋" w:hAnsi="仿宋" w:eastAsia="仿宋" w:cs="仿宋"/>
        </w:rPr>
      </w:pPr>
      <w:r>
        <w:rPr>
          <w:rFonts w:hint="eastAsia" w:ascii="仿宋" w:hAnsi="仿宋" w:eastAsia="仿宋" w:cs="仿宋"/>
        </w:rPr>
        <w:t>控股股东/投资人是指出资比例在50%以上，或者出资比例不足50%，但享有公司股东会/董事会控制权的投资方（含单位或者个人）；</w:t>
      </w:r>
    </w:p>
    <w:p w14:paraId="090E4708">
      <w:pPr>
        <w:pStyle w:val="20"/>
        <w:numPr>
          <w:ilvl w:val="3"/>
          <w:numId w:val="15"/>
        </w:numPr>
        <w:adjustRightInd w:val="0"/>
        <w:snapToGrid w:val="0"/>
        <w:spacing w:line="400" w:lineRule="exact"/>
        <w:ind w:left="0" w:firstLine="0" w:firstLineChars="0"/>
        <w:rPr>
          <w:rFonts w:hint="eastAsia" w:ascii="仿宋" w:hAnsi="仿宋" w:eastAsia="仿宋" w:cs="仿宋"/>
        </w:rPr>
      </w:pPr>
      <w:r>
        <w:rPr>
          <w:rFonts w:hint="eastAsia" w:ascii="仿宋" w:hAnsi="仿宋" w:eastAsia="仿宋" w:cs="仿宋"/>
        </w:rPr>
        <w:t xml:space="preserve">管理关系单位是指与不具有出资持股关系的其他单位之间存在管理与被管理关系的单位； </w:t>
      </w:r>
    </w:p>
    <w:p w14:paraId="03C7B00A">
      <w:pPr>
        <w:pStyle w:val="20"/>
        <w:numPr>
          <w:ilvl w:val="3"/>
          <w:numId w:val="15"/>
        </w:numPr>
        <w:adjustRightInd w:val="0"/>
        <w:snapToGrid w:val="0"/>
        <w:spacing w:line="400" w:lineRule="exact"/>
        <w:ind w:left="0" w:firstLine="0" w:firstLineChars="0"/>
        <w:rPr>
          <w:rFonts w:hint="eastAsia" w:ascii="仿宋" w:hAnsi="仿宋" w:eastAsia="仿宋" w:cs="仿宋"/>
        </w:rPr>
      </w:pPr>
      <w:r>
        <w:rPr>
          <w:rFonts w:hint="eastAsia" w:ascii="仿宋" w:hAnsi="仿宋" w:eastAsia="仿宋" w:cs="仿宋"/>
        </w:rPr>
        <w:t>如未有相关情况，请在相应栏填写“无”；</w:t>
      </w:r>
    </w:p>
    <w:p w14:paraId="1EB9109B">
      <w:pPr>
        <w:pStyle w:val="20"/>
        <w:numPr>
          <w:ilvl w:val="3"/>
          <w:numId w:val="15"/>
        </w:numPr>
        <w:adjustRightInd w:val="0"/>
        <w:snapToGrid w:val="0"/>
        <w:spacing w:line="400" w:lineRule="exact"/>
        <w:ind w:left="0" w:firstLine="0" w:firstLineChars="0"/>
        <w:rPr>
          <w:rFonts w:hint="eastAsia" w:ascii="仿宋" w:hAnsi="仿宋" w:eastAsia="仿宋" w:cs="仿宋"/>
          <w:b/>
          <w:bCs/>
        </w:rPr>
      </w:pPr>
      <w:r>
        <w:rPr>
          <w:rFonts w:hint="eastAsia" w:ascii="仿宋" w:hAnsi="仿宋" w:eastAsia="仿宋" w:cs="仿宋"/>
          <w:b/>
          <w:bCs/>
        </w:rPr>
        <w:t>联合体参与投标的，各联合体成员均需填写。</w:t>
      </w:r>
    </w:p>
    <w:p w14:paraId="3CBEBACA">
      <w:pPr>
        <w:widowControl/>
        <w:spacing w:line="360" w:lineRule="auto"/>
        <w:ind w:firstLine="420"/>
        <w:jc w:val="right"/>
        <w:rPr>
          <w:rFonts w:hint="eastAsia" w:ascii="仿宋" w:hAnsi="仿宋" w:eastAsia="仿宋" w:cs="仿宋"/>
          <w:szCs w:val="21"/>
        </w:rPr>
      </w:pPr>
      <w:r>
        <w:rPr>
          <w:rFonts w:hint="eastAsia" w:ascii="仿宋" w:hAnsi="仿宋" w:eastAsia="仿宋" w:cs="仿宋"/>
          <w:szCs w:val="21"/>
        </w:rPr>
        <w:t>投标人名称：</w:t>
      </w:r>
      <w:r>
        <w:rPr>
          <w:rFonts w:hint="eastAsia" w:ascii="仿宋" w:hAnsi="仿宋" w:eastAsia="仿宋" w:cs="仿宋"/>
          <w:szCs w:val="21"/>
          <w:u w:val="single"/>
        </w:rPr>
        <w:t xml:space="preserve">                         </w:t>
      </w:r>
      <w:r>
        <w:rPr>
          <w:rFonts w:hint="eastAsia" w:ascii="仿宋" w:hAnsi="仿宋" w:eastAsia="仿宋" w:cs="仿宋"/>
          <w:szCs w:val="21"/>
        </w:rPr>
        <w:t>（盖单位公章）</w:t>
      </w:r>
    </w:p>
    <w:p w14:paraId="7C109EDC">
      <w:pPr>
        <w:widowControl/>
        <w:spacing w:line="360" w:lineRule="auto"/>
        <w:ind w:firstLine="420"/>
        <w:jc w:val="right"/>
        <w:rPr>
          <w:rFonts w:hint="eastAsia" w:ascii="仿宋" w:hAnsi="仿宋" w:eastAsia="仿宋" w:cs="仿宋"/>
          <w:szCs w:val="21"/>
        </w:rPr>
      </w:pPr>
      <w:r>
        <w:rPr>
          <w:rFonts w:hint="eastAsia" w:ascii="仿宋" w:hAnsi="仿宋" w:eastAsia="仿宋" w:cs="仿宋"/>
          <w:szCs w:val="21"/>
        </w:rPr>
        <w:t>法定代表人或者其委托代理人：</w:t>
      </w:r>
      <w:r>
        <w:rPr>
          <w:rFonts w:hint="eastAsia" w:ascii="仿宋" w:hAnsi="仿宋" w:eastAsia="仿宋" w:cs="仿宋"/>
          <w:szCs w:val="21"/>
          <w:u w:val="single"/>
        </w:rPr>
        <w:t xml:space="preserve">               </w:t>
      </w:r>
      <w:r>
        <w:rPr>
          <w:rFonts w:hint="eastAsia" w:ascii="仿宋" w:hAnsi="仿宋" w:eastAsia="仿宋" w:cs="仿宋"/>
          <w:szCs w:val="21"/>
        </w:rPr>
        <w:t>（</w:t>
      </w:r>
      <w:r>
        <w:rPr>
          <w:rFonts w:hint="eastAsia" w:ascii="仿宋" w:hAnsi="仿宋" w:eastAsia="仿宋" w:cs="仿宋"/>
          <w:bCs/>
          <w:szCs w:val="21"/>
        </w:rPr>
        <w:t>签字或签名章</w:t>
      </w:r>
      <w:r>
        <w:rPr>
          <w:rFonts w:hint="eastAsia" w:ascii="仿宋" w:hAnsi="仿宋" w:eastAsia="仿宋" w:cs="仿宋"/>
          <w:szCs w:val="21"/>
        </w:rPr>
        <w:t>）</w:t>
      </w:r>
    </w:p>
    <w:p w14:paraId="24AB6911">
      <w:pPr>
        <w:topLinePunct/>
        <w:adjustRightInd w:val="0"/>
        <w:snapToGrid w:val="0"/>
        <w:spacing w:line="400" w:lineRule="exact"/>
        <w:jc w:val="right"/>
        <w:rPr>
          <w:rFonts w:hint="eastAsia" w:ascii="仿宋" w:hAnsi="仿宋" w:eastAsia="仿宋" w:cs="仿宋"/>
          <w:szCs w:val="21"/>
        </w:rPr>
      </w:pPr>
      <w:r>
        <w:rPr>
          <w:rFonts w:hint="eastAsia" w:ascii="仿宋" w:hAnsi="仿宋" w:eastAsia="仿宋" w:cs="仿宋"/>
          <w:szCs w:val="21"/>
        </w:rPr>
        <w:t>________年_________月________日</w:t>
      </w:r>
    </w:p>
    <w:p w14:paraId="5EEA707D">
      <w:pPr>
        <w:rPr>
          <w:rFonts w:hint="eastAsia" w:ascii="仿宋" w:hAnsi="仿宋" w:eastAsia="仿宋" w:cs="仿宋"/>
        </w:rPr>
        <w:sectPr>
          <w:pgSz w:w="11906" w:h="16838"/>
          <w:pgMar w:top="1440" w:right="1800" w:bottom="1440" w:left="1800" w:header="851" w:footer="992" w:gutter="0"/>
          <w:cols w:space="720" w:num="1"/>
          <w:docGrid w:type="lines" w:linePitch="312" w:charSpace="0"/>
        </w:sectPr>
      </w:pPr>
    </w:p>
    <w:p w14:paraId="62EA57E8">
      <w:pPr>
        <w:spacing w:line="360" w:lineRule="auto"/>
        <w:jc w:val="left"/>
        <w:outlineLvl w:val="2"/>
        <w:rPr>
          <w:rFonts w:hint="eastAsia" w:ascii="仿宋" w:hAnsi="仿宋" w:eastAsia="仿宋" w:cs="仿宋"/>
          <w:b/>
          <w:bCs/>
          <w:sz w:val="24"/>
          <w:szCs w:val="21"/>
        </w:rPr>
      </w:pPr>
      <w:bookmarkStart w:id="708" w:name="_Toc16971"/>
      <w:bookmarkStart w:id="709" w:name="_Toc9374"/>
      <w:r>
        <w:rPr>
          <w:rFonts w:hint="eastAsia" w:ascii="仿宋" w:hAnsi="仿宋" w:eastAsia="仿宋" w:cs="仿宋"/>
          <w:b/>
          <w:bCs/>
          <w:sz w:val="24"/>
          <w:szCs w:val="21"/>
          <w:lang w:val="en-US" w:eastAsia="zh-CN"/>
        </w:rPr>
        <w:t>5</w:t>
      </w:r>
      <w:r>
        <w:rPr>
          <w:rFonts w:hint="eastAsia" w:ascii="仿宋" w:hAnsi="仿宋" w:eastAsia="仿宋" w:cs="仿宋"/>
          <w:b/>
          <w:bCs/>
          <w:sz w:val="24"/>
          <w:szCs w:val="21"/>
        </w:rPr>
        <w:t>.</w:t>
      </w:r>
      <w:r>
        <w:rPr>
          <w:rFonts w:hint="eastAsia" w:ascii="仿宋" w:hAnsi="仿宋" w:eastAsia="仿宋" w:cs="仿宋"/>
          <w:b/>
          <w:bCs/>
          <w:sz w:val="24"/>
        </w:rPr>
        <w:t>“※初步审查标准”中要求提供的证明文件或其他材料</w:t>
      </w:r>
      <w:bookmarkEnd w:id="708"/>
      <w:bookmarkEnd w:id="709"/>
    </w:p>
    <w:p w14:paraId="533B39B8">
      <w:pPr>
        <w:spacing w:line="360" w:lineRule="auto"/>
        <w:rPr>
          <w:rFonts w:hint="eastAsia" w:ascii="仿宋" w:hAnsi="仿宋" w:eastAsia="仿宋" w:cs="仿宋"/>
          <w:kern w:val="0"/>
          <w:szCs w:val="21"/>
        </w:rPr>
      </w:pPr>
      <w:r>
        <w:rPr>
          <w:rFonts w:hint="eastAsia" w:ascii="仿宋" w:hAnsi="仿宋" w:eastAsia="仿宋" w:cs="仿宋"/>
          <w:kern w:val="0"/>
          <w:szCs w:val="21"/>
        </w:rPr>
        <w:t>（格式自拟）</w:t>
      </w:r>
    </w:p>
    <w:p w14:paraId="22222AE7">
      <w:pPr>
        <w:spacing w:after="0" w:line="360" w:lineRule="auto"/>
        <w:jc w:val="left"/>
        <w:outlineLvl w:val="1"/>
        <w:rPr>
          <w:rFonts w:hint="eastAsia" w:ascii="仿宋" w:hAnsi="仿宋" w:eastAsia="仿宋" w:cs="仿宋"/>
          <w:b/>
          <w:bCs/>
          <w:sz w:val="24"/>
          <w:szCs w:val="21"/>
        </w:rPr>
      </w:pPr>
      <w:r>
        <w:rPr>
          <w:rFonts w:hint="eastAsia" w:ascii="仿宋" w:hAnsi="仿宋" w:eastAsia="仿宋" w:cs="仿宋"/>
          <w:b/>
          <w:bCs/>
          <w:sz w:val="24"/>
          <w:szCs w:val="21"/>
        </w:rPr>
        <w:br w:type="page"/>
      </w:r>
      <w:bookmarkStart w:id="710" w:name="_Toc11236"/>
      <w:bookmarkStart w:id="711" w:name="_Toc5640"/>
      <w:r>
        <w:rPr>
          <w:rFonts w:hint="eastAsia" w:ascii="仿宋" w:hAnsi="仿宋" w:eastAsia="仿宋" w:cs="仿宋"/>
          <w:b/>
          <w:bCs/>
          <w:sz w:val="24"/>
          <w:szCs w:val="21"/>
        </w:rPr>
        <w:t>（二）商务部分</w:t>
      </w:r>
      <w:bookmarkEnd w:id="710"/>
      <w:bookmarkEnd w:id="711"/>
    </w:p>
    <w:bookmarkEnd w:id="695"/>
    <w:bookmarkEnd w:id="696"/>
    <w:bookmarkEnd w:id="697"/>
    <w:p w14:paraId="13D49858">
      <w:pPr>
        <w:spacing w:line="360" w:lineRule="auto"/>
        <w:jc w:val="left"/>
        <w:outlineLvl w:val="2"/>
        <w:rPr>
          <w:rFonts w:hint="eastAsia" w:ascii="仿宋" w:hAnsi="仿宋" w:eastAsia="仿宋" w:cs="仿宋"/>
          <w:b/>
          <w:bCs/>
          <w:sz w:val="24"/>
          <w:szCs w:val="21"/>
        </w:rPr>
      </w:pPr>
      <w:bookmarkStart w:id="712" w:name="_Toc2433"/>
      <w:bookmarkStart w:id="713" w:name="_Toc6712"/>
      <w:r>
        <w:rPr>
          <w:rFonts w:hint="eastAsia" w:ascii="仿宋" w:hAnsi="仿宋" w:eastAsia="仿宋" w:cs="仿宋"/>
          <w:b/>
          <w:bCs/>
          <w:sz w:val="24"/>
          <w:szCs w:val="21"/>
        </w:rPr>
        <w:t>※1.开标一览表</w:t>
      </w:r>
      <w:bookmarkEnd w:id="712"/>
      <w:bookmarkEnd w:id="713"/>
    </w:p>
    <w:p w14:paraId="5DE512D4">
      <w:pPr>
        <w:spacing w:line="400" w:lineRule="exact"/>
        <w:jc w:val="center"/>
        <w:rPr>
          <w:rFonts w:hint="eastAsia" w:ascii="仿宋" w:hAnsi="仿宋" w:eastAsia="仿宋" w:cs="仿宋"/>
          <w:szCs w:val="21"/>
        </w:rPr>
      </w:pPr>
      <w:r>
        <w:rPr>
          <w:rFonts w:hint="eastAsia" w:ascii="仿宋" w:hAnsi="仿宋" w:eastAsia="仿宋" w:cs="仿宋"/>
          <w:b/>
          <w:sz w:val="24"/>
        </w:rPr>
        <w:t>开标一览表</w:t>
      </w:r>
    </w:p>
    <w:p w14:paraId="381024F6">
      <w:pPr>
        <w:snapToGrid w:val="0"/>
        <w:spacing w:after="0" w:line="360" w:lineRule="auto"/>
        <w:rPr>
          <w:rFonts w:hint="eastAsia" w:ascii="仿宋" w:hAnsi="仿宋" w:eastAsia="仿宋" w:cs="仿宋"/>
          <w:szCs w:val="21"/>
        </w:rPr>
      </w:pPr>
      <w:r>
        <w:rPr>
          <w:rFonts w:hint="eastAsia" w:ascii="仿宋" w:hAnsi="仿宋" w:eastAsia="仿宋" w:cs="仿宋"/>
          <w:szCs w:val="21"/>
        </w:rPr>
        <w:t>项目编号：</w:t>
      </w:r>
    </w:p>
    <w:p w14:paraId="5E66B1F4">
      <w:pPr>
        <w:snapToGrid w:val="0"/>
        <w:spacing w:after="0" w:line="360" w:lineRule="auto"/>
        <w:rPr>
          <w:rFonts w:hint="eastAsia" w:ascii="仿宋" w:hAnsi="仿宋" w:eastAsia="仿宋" w:cs="仿宋"/>
          <w:szCs w:val="21"/>
        </w:rPr>
      </w:pPr>
      <w:r>
        <w:rPr>
          <w:rFonts w:hint="eastAsia" w:ascii="仿宋" w:hAnsi="仿宋" w:eastAsia="仿宋" w:cs="仿宋"/>
          <w:szCs w:val="21"/>
        </w:rPr>
        <w:t>项目名称：</w:t>
      </w:r>
    </w:p>
    <w:p w14:paraId="24C5CD83">
      <w:pPr>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货币单位：元（人民币）</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124"/>
        <w:gridCol w:w="5396"/>
      </w:tblGrid>
      <w:tr w14:paraId="4D67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3124" w:type="dxa"/>
            <w:vAlign w:val="center"/>
          </w:tcPr>
          <w:p w14:paraId="5369D555">
            <w:pPr>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投标总价小写金额</w:t>
            </w:r>
          </w:p>
        </w:tc>
        <w:tc>
          <w:tcPr>
            <w:tcW w:w="5396" w:type="dxa"/>
            <w:vAlign w:val="center"/>
          </w:tcPr>
          <w:p w14:paraId="1E2A074E">
            <w:pPr>
              <w:adjustRightInd w:val="0"/>
              <w:snapToGrid w:val="0"/>
              <w:spacing w:after="0" w:line="360" w:lineRule="auto"/>
              <w:jc w:val="center"/>
              <w:rPr>
                <w:rFonts w:hint="eastAsia" w:ascii="仿宋" w:hAnsi="仿宋" w:eastAsia="仿宋" w:cs="仿宋"/>
                <w:b/>
                <w:bCs/>
                <w:szCs w:val="21"/>
              </w:rPr>
            </w:pPr>
          </w:p>
        </w:tc>
      </w:tr>
      <w:tr w14:paraId="18F19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1" w:hRule="atLeast"/>
          <w:jc w:val="center"/>
        </w:trPr>
        <w:tc>
          <w:tcPr>
            <w:tcW w:w="3124" w:type="dxa"/>
            <w:vAlign w:val="center"/>
          </w:tcPr>
          <w:p w14:paraId="0428ED9B">
            <w:pPr>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投标总价大写金额</w:t>
            </w:r>
          </w:p>
        </w:tc>
        <w:tc>
          <w:tcPr>
            <w:tcW w:w="5396" w:type="dxa"/>
            <w:vAlign w:val="center"/>
          </w:tcPr>
          <w:p w14:paraId="312FFC5F">
            <w:pPr>
              <w:adjustRightInd w:val="0"/>
              <w:snapToGrid w:val="0"/>
              <w:spacing w:after="0" w:line="360" w:lineRule="auto"/>
              <w:jc w:val="center"/>
              <w:rPr>
                <w:rFonts w:hint="eastAsia" w:ascii="仿宋" w:hAnsi="仿宋" w:eastAsia="仿宋" w:cs="仿宋"/>
                <w:b/>
                <w:bCs/>
                <w:szCs w:val="21"/>
              </w:rPr>
            </w:pPr>
          </w:p>
        </w:tc>
      </w:tr>
      <w:tr w14:paraId="178FC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jc w:val="center"/>
        </w:trPr>
        <w:tc>
          <w:tcPr>
            <w:tcW w:w="3124" w:type="dxa"/>
            <w:vAlign w:val="center"/>
          </w:tcPr>
          <w:p w14:paraId="0647C6E4">
            <w:pPr>
              <w:adjustRightInd w:val="0"/>
              <w:snapToGrid w:val="0"/>
              <w:spacing w:after="0" w:line="360" w:lineRule="auto"/>
              <w:jc w:val="center"/>
              <w:rPr>
                <w:rFonts w:hint="eastAsia" w:ascii="仿宋" w:hAnsi="仿宋" w:eastAsia="仿宋" w:cs="仿宋"/>
                <w:b/>
                <w:bCs/>
                <w:szCs w:val="21"/>
              </w:rPr>
            </w:pPr>
            <w:r>
              <w:rPr>
                <w:rFonts w:hint="eastAsia" w:ascii="仿宋" w:hAnsi="仿宋" w:eastAsia="仿宋" w:cs="仿宋"/>
                <w:b/>
                <w:bCs/>
                <w:szCs w:val="21"/>
              </w:rPr>
              <w:t>备注</w:t>
            </w:r>
          </w:p>
        </w:tc>
        <w:tc>
          <w:tcPr>
            <w:tcW w:w="5396" w:type="dxa"/>
            <w:vAlign w:val="center"/>
          </w:tcPr>
          <w:p w14:paraId="0AA5D958">
            <w:pPr>
              <w:adjustRightInd w:val="0"/>
              <w:snapToGrid w:val="0"/>
              <w:spacing w:after="0" w:line="360" w:lineRule="auto"/>
              <w:jc w:val="center"/>
              <w:rPr>
                <w:rFonts w:hint="eastAsia" w:ascii="仿宋" w:hAnsi="仿宋" w:eastAsia="仿宋" w:cs="仿宋"/>
                <w:b/>
                <w:bCs/>
                <w:szCs w:val="21"/>
              </w:rPr>
            </w:pPr>
          </w:p>
        </w:tc>
      </w:tr>
    </w:tbl>
    <w:p w14:paraId="01E58518">
      <w:pPr>
        <w:tabs>
          <w:tab w:val="left" w:pos="7665"/>
        </w:tabs>
        <w:adjustRightInd w:val="0"/>
        <w:snapToGrid w:val="0"/>
        <w:spacing w:after="0" w:line="360" w:lineRule="auto"/>
        <w:rPr>
          <w:rFonts w:hint="eastAsia" w:ascii="仿宋" w:hAnsi="仿宋" w:eastAsia="仿宋" w:cs="仿宋"/>
          <w:b/>
          <w:bCs/>
        </w:rPr>
      </w:pPr>
      <w:r>
        <w:rPr>
          <w:rFonts w:hint="eastAsia" w:ascii="仿宋" w:hAnsi="仿宋" w:eastAsia="仿宋" w:cs="仿宋"/>
          <w:b/>
          <w:bCs/>
        </w:rPr>
        <w:t>备注：</w:t>
      </w:r>
    </w:p>
    <w:p w14:paraId="5D2FAC67">
      <w:pPr>
        <w:tabs>
          <w:tab w:val="left" w:pos="7665"/>
        </w:tabs>
        <w:adjustRightInd w:val="0"/>
        <w:snapToGrid w:val="0"/>
        <w:spacing w:after="0" w:line="360" w:lineRule="auto"/>
        <w:rPr>
          <w:rFonts w:hint="eastAsia" w:ascii="仿宋" w:hAnsi="仿宋" w:eastAsia="仿宋" w:cs="仿宋"/>
          <w:b/>
          <w:bCs/>
        </w:rPr>
      </w:pPr>
      <w:r>
        <w:rPr>
          <w:rFonts w:hint="eastAsia" w:ascii="仿宋" w:hAnsi="仿宋" w:eastAsia="仿宋" w:cs="仿宋"/>
          <w:b/>
          <w:bCs/>
        </w:rPr>
        <w:t>1、</w:t>
      </w:r>
      <w:r>
        <w:rPr>
          <w:rFonts w:hint="eastAsia" w:ascii="仿宋" w:hAnsi="仿宋" w:eastAsia="仿宋" w:cs="仿宋"/>
          <w:b/>
          <w:bCs/>
          <w:szCs w:val="21"/>
        </w:rPr>
        <w:t>以上内容为实质性响应内容，投标单位超过最高限价者或内容填写不完全的，将导致被否决投标；以上报价包含本次项目所需全部费用，招标人不再追加任何费用。</w:t>
      </w:r>
    </w:p>
    <w:p w14:paraId="08F5DE97">
      <w:pPr>
        <w:tabs>
          <w:tab w:val="left" w:pos="7665"/>
        </w:tabs>
        <w:adjustRightInd w:val="0"/>
        <w:snapToGrid w:val="0"/>
        <w:spacing w:after="0" w:line="360" w:lineRule="auto"/>
        <w:rPr>
          <w:rFonts w:hint="eastAsia" w:ascii="仿宋" w:hAnsi="仿宋" w:eastAsia="仿宋" w:cs="仿宋"/>
          <w:b/>
          <w:bCs/>
        </w:rPr>
      </w:pPr>
      <w:r>
        <w:rPr>
          <w:rFonts w:hint="eastAsia" w:ascii="仿宋" w:hAnsi="仿宋" w:eastAsia="仿宋" w:cs="仿宋"/>
          <w:b/>
          <w:bCs/>
        </w:rPr>
        <w:t xml:space="preserve">2、按人民币报价，所有报价经四舍五入后保留小数点后两位。 </w:t>
      </w:r>
    </w:p>
    <w:p w14:paraId="5B68F1F0">
      <w:pPr>
        <w:pStyle w:val="15"/>
        <w:adjustRightInd w:val="0"/>
        <w:snapToGrid w:val="0"/>
        <w:spacing w:after="0" w:line="360" w:lineRule="auto"/>
        <w:ind w:firstLine="0" w:firstLineChars="0"/>
        <w:rPr>
          <w:rFonts w:hint="eastAsia" w:ascii="仿宋" w:hAnsi="仿宋" w:eastAsia="仿宋" w:cs="仿宋"/>
          <w:b/>
          <w:bCs/>
          <w:sz w:val="21"/>
          <w:szCs w:val="24"/>
        </w:rPr>
      </w:pPr>
      <w:r>
        <w:rPr>
          <w:rFonts w:hint="eastAsia" w:ascii="仿宋" w:hAnsi="仿宋" w:eastAsia="仿宋" w:cs="仿宋"/>
          <w:b/>
          <w:bCs/>
          <w:sz w:val="21"/>
          <w:szCs w:val="24"/>
        </w:rPr>
        <w:t>3、请完整、正确、清晰地填写表中内容。</w:t>
      </w:r>
    </w:p>
    <w:p w14:paraId="64166F09">
      <w:pPr>
        <w:pStyle w:val="15"/>
        <w:adjustRightInd w:val="0"/>
        <w:snapToGrid w:val="0"/>
        <w:spacing w:after="0" w:line="360" w:lineRule="auto"/>
        <w:ind w:firstLine="0" w:firstLineChars="0"/>
        <w:rPr>
          <w:rFonts w:hint="eastAsia" w:ascii="仿宋" w:hAnsi="仿宋" w:eastAsia="仿宋" w:cs="仿宋"/>
        </w:rPr>
      </w:pPr>
      <w:r>
        <w:rPr>
          <w:rFonts w:hint="eastAsia" w:ascii="仿宋" w:hAnsi="仿宋" w:eastAsia="仿宋" w:cs="仿宋"/>
          <w:b/>
          <w:bCs/>
          <w:sz w:val="21"/>
          <w:szCs w:val="24"/>
        </w:rPr>
        <w:t>4、上述报价需按《招标文件》规定由法定代表人或其授权代表签署并按规定加盖公章。</w:t>
      </w:r>
    </w:p>
    <w:p w14:paraId="4BAE86DC">
      <w:pPr>
        <w:adjustRightInd w:val="0"/>
        <w:snapToGrid w:val="0"/>
        <w:spacing w:after="0" w:line="360" w:lineRule="auto"/>
        <w:rPr>
          <w:rFonts w:hint="eastAsia" w:ascii="仿宋" w:hAnsi="仿宋" w:eastAsia="仿宋" w:cs="仿宋"/>
          <w:b/>
          <w:bCs/>
        </w:rPr>
      </w:pPr>
      <w:r>
        <w:rPr>
          <w:rFonts w:hint="eastAsia" w:ascii="仿宋" w:hAnsi="仿宋" w:eastAsia="仿宋" w:cs="仿宋"/>
          <w:b/>
          <w:bCs/>
        </w:rPr>
        <w:t>5、投标文件报价出现前后不一致的，除招标文件另有规定外，按照下列规定修正：</w:t>
      </w:r>
    </w:p>
    <w:p w14:paraId="0178708E">
      <w:pPr>
        <w:adjustRightInd w:val="0"/>
        <w:snapToGrid w:val="0"/>
        <w:spacing w:after="0" w:line="360" w:lineRule="auto"/>
        <w:rPr>
          <w:rFonts w:hint="eastAsia" w:ascii="仿宋" w:hAnsi="仿宋" w:eastAsia="仿宋" w:cs="仿宋"/>
          <w:b/>
          <w:bCs/>
        </w:rPr>
      </w:pPr>
      <w:r>
        <w:rPr>
          <w:rFonts w:hint="eastAsia" w:ascii="仿宋" w:hAnsi="仿宋" w:eastAsia="仿宋" w:cs="仿宋"/>
          <w:b/>
          <w:bCs/>
        </w:rPr>
        <w:t>（一）投标文件中开标一览表（报价表）内容与投标文件中相应内容不一致的，以开标一览表（报价表）为准；</w:t>
      </w:r>
    </w:p>
    <w:p w14:paraId="0482A7C5">
      <w:pPr>
        <w:adjustRightInd w:val="0"/>
        <w:snapToGrid w:val="0"/>
        <w:spacing w:after="0" w:line="360" w:lineRule="auto"/>
        <w:rPr>
          <w:rFonts w:hint="eastAsia" w:ascii="仿宋" w:hAnsi="仿宋" w:eastAsia="仿宋" w:cs="仿宋"/>
          <w:b/>
          <w:bCs/>
        </w:rPr>
      </w:pPr>
      <w:r>
        <w:rPr>
          <w:rFonts w:hint="eastAsia" w:ascii="仿宋" w:hAnsi="仿宋" w:eastAsia="仿宋" w:cs="仿宋"/>
          <w:b/>
          <w:bCs/>
        </w:rPr>
        <w:t>（二）大写金额和小写金额不一致的，以大写金额为准；</w:t>
      </w:r>
    </w:p>
    <w:p w14:paraId="236ADC2E">
      <w:pPr>
        <w:adjustRightInd w:val="0"/>
        <w:snapToGrid w:val="0"/>
        <w:spacing w:after="0" w:line="360" w:lineRule="auto"/>
        <w:rPr>
          <w:rFonts w:hint="eastAsia" w:ascii="仿宋" w:hAnsi="仿宋" w:eastAsia="仿宋" w:cs="仿宋"/>
          <w:b/>
          <w:bCs/>
        </w:rPr>
      </w:pPr>
      <w:r>
        <w:rPr>
          <w:rFonts w:hint="eastAsia" w:ascii="仿宋" w:hAnsi="仿宋" w:eastAsia="仿宋" w:cs="仿宋"/>
          <w:b/>
          <w:bCs/>
        </w:rPr>
        <w:t>（三）单价金额小数点或者百分比有明显错位的，以开标一览表的总价为准，并修改单价；</w:t>
      </w:r>
    </w:p>
    <w:p w14:paraId="558D84BE">
      <w:pPr>
        <w:adjustRightInd w:val="0"/>
        <w:snapToGrid w:val="0"/>
        <w:spacing w:after="0" w:line="360" w:lineRule="auto"/>
        <w:rPr>
          <w:rFonts w:hint="eastAsia" w:ascii="仿宋" w:hAnsi="仿宋" w:eastAsia="仿宋" w:cs="仿宋"/>
          <w:b/>
          <w:bCs/>
        </w:rPr>
      </w:pPr>
      <w:r>
        <w:rPr>
          <w:rFonts w:hint="eastAsia" w:ascii="仿宋" w:hAnsi="仿宋" w:eastAsia="仿宋" w:cs="仿宋"/>
          <w:b/>
          <w:bCs/>
        </w:rPr>
        <w:t>（四）总价金额与按单价汇总金额不一致的，以单价金额计算结果为准。</w:t>
      </w:r>
    </w:p>
    <w:p w14:paraId="312A5822">
      <w:pPr>
        <w:adjustRightInd w:val="0"/>
        <w:snapToGrid w:val="0"/>
        <w:spacing w:after="0" w:line="360" w:lineRule="auto"/>
        <w:rPr>
          <w:rFonts w:hint="eastAsia" w:ascii="仿宋" w:hAnsi="仿宋" w:eastAsia="仿宋" w:cs="仿宋"/>
          <w:b/>
          <w:bCs/>
        </w:rPr>
      </w:pPr>
      <w:r>
        <w:rPr>
          <w:rFonts w:hint="eastAsia" w:ascii="仿宋" w:hAnsi="仿宋" w:eastAsia="仿宋" w:cs="仿宋"/>
          <w:b/>
          <w:bCs/>
        </w:rPr>
        <w:t>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4083F01C">
      <w:pPr>
        <w:adjustRightInd w:val="0"/>
        <w:snapToGrid w:val="0"/>
        <w:spacing w:after="0" w:line="360" w:lineRule="auto"/>
        <w:jc w:val="right"/>
        <w:rPr>
          <w:rFonts w:hint="eastAsia" w:ascii="仿宋" w:hAnsi="仿宋" w:eastAsia="仿宋" w:cs="仿宋"/>
          <w:b/>
          <w:bCs/>
        </w:rPr>
      </w:pPr>
    </w:p>
    <w:p w14:paraId="209F4142">
      <w:pPr>
        <w:adjustRightInd w:val="0"/>
        <w:snapToGrid w:val="0"/>
        <w:spacing w:after="0" w:line="360" w:lineRule="auto"/>
        <w:jc w:val="right"/>
        <w:rPr>
          <w:rFonts w:hint="eastAsia" w:ascii="仿宋" w:hAnsi="仿宋" w:eastAsia="仿宋" w:cs="仿宋"/>
          <w:b/>
          <w:bCs/>
        </w:rPr>
      </w:pPr>
      <w:r>
        <w:rPr>
          <w:rFonts w:hint="eastAsia" w:ascii="仿宋" w:hAnsi="仿宋" w:eastAsia="仿宋" w:cs="仿宋"/>
          <w:b/>
          <w:bCs/>
        </w:rPr>
        <w:t xml:space="preserve">投标人名称： </w:t>
      </w:r>
      <w:r>
        <w:rPr>
          <w:rFonts w:hint="eastAsia" w:ascii="仿宋" w:hAnsi="仿宋" w:eastAsia="仿宋" w:cs="仿宋"/>
          <w:b/>
          <w:bCs/>
          <w:u w:val="single"/>
        </w:rPr>
        <w:t xml:space="preserve">                          </w:t>
      </w:r>
      <w:r>
        <w:rPr>
          <w:rFonts w:hint="eastAsia" w:ascii="仿宋" w:hAnsi="仿宋" w:eastAsia="仿宋" w:cs="仿宋"/>
          <w:b/>
          <w:bCs/>
        </w:rPr>
        <w:t>（盖单位公章）</w:t>
      </w:r>
    </w:p>
    <w:p w14:paraId="189747B6">
      <w:pPr>
        <w:adjustRightInd w:val="0"/>
        <w:snapToGrid w:val="0"/>
        <w:spacing w:after="0" w:line="360" w:lineRule="auto"/>
        <w:jc w:val="right"/>
        <w:rPr>
          <w:rFonts w:hint="eastAsia" w:ascii="仿宋" w:hAnsi="仿宋" w:eastAsia="仿宋" w:cs="仿宋"/>
          <w:b/>
          <w:bCs/>
        </w:rPr>
      </w:pPr>
      <w:r>
        <w:rPr>
          <w:rFonts w:hint="eastAsia" w:ascii="仿宋" w:hAnsi="仿宋" w:eastAsia="仿宋" w:cs="仿宋"/>
          <w:b/>
          <w:bCs/>
        </w:rPr>
        <w:t xml:space="preserve">法定代表人或者其委托代理人： </w:t>
      </w:r>
      <w:r>
        <w:rPr>
          <w:rFonts w:hint="eastAsia" w:ascii="仿宋" w:hAnsi="仿宋" w:eastAsia="仿宋" w:cs="仿宋"/>
          <w:b/>
          <w:bCs/>
          <w:u w:val="single"/>
        </w:rPr>
        <w:t xml:space="preserve">              </w:t>
      </w:r>
      <w:r>
        <w:rPr>
          <w:rFonts w:hint="eastAsia" w:ascii="仿宋" w:hAnsi="仿宋" w:eastAsia="仿宋" w:cs="仿宋"/>
          <w:b/>
          <w:bCs/>
        </w:rPr>
        <w:t>（签字或签名章）</w:t>
      </w:r>
    </w:p>
    <w:p w14:paraId="7EA6D692">
      <w:pPr>
        <w:pStyle w:val="26"/>
        <w:snapToGrid w:val="0"/>
        <w:spacing w:before="0" w:after="0" w:line="360" w:lineRule="auto"/>
        <w:ind w:left="0" w:right="0" w:firstLine="482" w:firstLineChars="200"/>
        <w:jc w:val="right"/>
        <w:rPr>
          <w:rFonts w:hint="eastAsia" w:ascii="仿宋" w:hAnsi="仿宋" w:eastAsia="仿宋" w:cs="仿宋"/>
          <w:b/>
          <w:bCs/>
        </w:rPr>
      </w:pPr>
      <w:r>
        <w:rPr>
          <w:rFonts w:hint="eastAsia" w:ascii="仿宋" w:hAnsi="仿宋" w:eastAsia="仿宋" w:cs="仿宋"/>
          <w:b/>
          <w:bCs/>
        </w:rPr>
        <w:t xml:space="preserve">         年         月         日</w:t>
      </w:r>
    </w:p>
    <w:p w14:paraId="6182ADDA">
      <w:pPr>
        <w:pStyle w:val="5"/>
        <w:rPr>
          <w:rFonts w:hint="eastAsia" w:ascii="仿宋" w:hAnsi="仿宋" w:eastAsia="仿宋" w:cs="仿宋"/>
        </w:rPr>
        <w:sectPr>
          <w:pgSz w:w="11906" w:h="16838"/>
          <w:pgMar w:top="1440" w:right="1800" w:bottom="1440" w:left="1800" w:header="851" w:footer="992" w:gutter="0"/>
          <w:cols w:space="720" w:num="1"/>
          <w:docGrid w:type="lines" w:linePitch="312" w:charSpace="0"/>
        </w:sectPr>
      </w:pPr>
    </w:p>
    <w:p w14:paraId="6D546620">
      <w:pPr>
        <w:pStyle w:val="14"/>
        <w:numPr>
          <w:ilvl w:val="1"/>
          <w:numId w:val="0"/>
        </w:numPr>
        <w:tabs>
          <w:tab w:val="left" w:pos="602"/>
        </w:tabs>
        <w:snapToGrid w:val="0"/>
        <w:spacing w:before="120" w:after="120" w:line="400" w:lineRule="exact"/>
        <w:jc w:val="left"/>
        <w:outlineLvl w:val="2"/>
        <w:rPr>
          <w:rFonts w:hint="eastAsia" w:ascii="仿宋" w:hAnsi="仿宋" w:eastAsia="仿宋" w:cs="仿宋"/>
          <w:sz w:val="24"/>
          <w:szCs w:val="21"/>
        </w:rPr>
      </w:pPr>
      <w:bookmarkStart w:id="714" w:name="_Toc7706"/>
      <w:bookmarkStart w:id="715" w:name="_Toc12766"/>
      <w:bookmarkStart w:id="716" w:name="_Toc3507"/>
      <w:bookmarkStart w:id="717" w:name="_Toc7493"/>
      <w:bookmarkStart w:id="718" w:name="_Toc2763"/>
      <w:r>
        <w:rPr>
          <w:rFonts w:hint="eastAsia" w:ascii="仿宋" w:hAnsi="仿宋" w:eastAsia="仿宋" w:cs="仿宋"/>
          <w:sz w:val="24"/>
          <w:szCs w:val="21"/>
        </w:rPr>
        <w:t>2.分项报价表</w:t>
      </w:r>
      <w:bookmarkEnd w:id="714"/>
      <w:bookmarkEnd w:id="715"/>
      <w:bookmarkEnd w:id="716"/>
      <w:bookmarkEnd w:id="717"/>
      <w:bookmarkEnd w:id="718"/>
    </w:p>
    <w:p w14:paraId="59DEC2F9">
      <w:pPr>
        <w:spacing w:line="400" w:lineRule="exact"/>
        <w:jc w:val="center"/>
        <w:rPr>
          <w:rFonts w:hint="eastAsia" w:ascii="仿宋" w:hAnsi="仿宋" w:eastAsia="仿宋" w:cs="仿宋"/>
        </w:rPr>
      </w:pPr>
      <w:r>
        <w:rPr>
          <w:rFonts w:hint="eastAsia" w:ascii="仿宋" w:hAnsi="仿宋" w:eastAsia="仿宋" w:cs="仿宋"/>
          <w:b/>
          <w:sz w:val="24"/>
        </w:rPr>
        <w:t>分项报价表</w:t>
      </w:r>
    </w:p>
    <w:p w14:paraId="51EAB348">
      <w:pPr>
        <w:snapToGrid w:val="0"/>
        <w:spacing w:after="0" w:line="360" w:lineRule="auto"/>
        <w:rPr>
          <w:rFonts w:hint="eastAsia" w:ascii="仿宋" w:hAnsi="仿宋" w:eastAsia="仿宋" w:cs="仿宋"/>
          <w:szCs w:val="21"/>
        </w:rPr>
      </w:pPr>
      <w:r>
        <w:rPr>
          <w:rFonts w:hint="eastAsia" w:ascii="仿宋" w:hAnsi="仿宋" w:eastAsia="仿宋" w:cs="仿宋"/>
          <w:szCs w:val="21"/>
        </w:rPr>
        <w:t>项目编号：</w:t>
      </w:r>
    </w:p>
    <w:p w14:paraId="33ECAF6B">
      <w:pPr>
        <w:snapToGrid w:val="0"/>
        <w:spacing w:after="0" w:line="360" w:lineRule="auto"/>
        <w:rPr>
          <w:rFonts w:hint="eastAsia" w:ascii="仿宋" w:hAnsi="仿宋" w:eastAsia="仿宋" w:cs="仿宋"/>
          <w:szCs w:val="21"/>
        </w:rPr>
      </w:pPr>
      <w:r>
        <w:rPr>
          <w:rFonts w:hint="eastAsia" w:ascii="仿宋" w:hAnsi="仿宋" w:eastAsia="仿宋" w:cs="仿宋"/>
          <w:szCs w:val="21"/>
        </w:rPr>
        <w:t>项目名称：</w:t>
      </w:r>
    </w:p>
    <w:p w14:paraId="1A1262AE">
      <w:pPr>
        <w:adjustRightInd w:val="0"/>
        <w:snapToGrid w:val="0"/>
        <w:spacing w:after="0" w:line="360" w:lineRule="auto"/>
        <w:rPr>
          <w:rFonts w:hint="eastAsia" w:ascii="仿宋" w:hAnsi="仿宋" w:eastAsia="仿宋" w:cs="仿宋"/>
          <w:szCs w:val="21"/>
        </w:rPr>
      </w:pPr>
      <w:r>
        <w:rPr>
          <w:rFonts w:hint="eastAsia" w:ascii="仿宋" w:hAnsi="仿宋" w:eastAsia="仿宋" w:cs="仿宋"/>
          <w:szCs w:val="21"/>
        </w:rPr>
        <w:t>货币单位：元（人民币）</w:t>
      </w:r>
    </w:p>
    <w:tbl>
      <w:tblPr>
        <w:tblStyle w:val="16"/>
        <w:tblW w:w="47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2270"/>
        <w:gridCol w:w="1787"/>
        <w:gridCol w:w="1316"/>
        <w:gridCol w:w="1220"/>
        <w:gridCol w:w="694"/>
      </w:tblGrid>
      <w:tr w14:paraId="3739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E6079A3">
            <w:pPr>
              <w:jc w:val="center"/>
              <w:rPr>
                <w:rFonts w:hint="eastAsia" w:ascii="仿宋" w:hAnsi="仿宋" w:eastAsia="仿宋" w:cs="仿宋"/>
                <w:b/>
                <w:szCs w:val="21"/>
              </w:rPr>
            </w:pPr>
            <w:r>
              <w:rPr>
                <w:rFonts w:hint="eastAsia" w:ascii="仿宋" w:hAnsi="仿宋" w:eastAsia="仿宋" w:cs="仿宋"/>
                <w:b/>
                <w:szCs w:val="21"/>
              </w:rPr>
              <w:t>序号</w:t>
            </w:r>
          </w:p>
        </w:tc>
        <w:tc>
          <w:tcPr>
            <w:tcW w:w="1406" w:type="pct"/>
            <w:vAlign w:val="center"/>
          </w:tcPr>
          <w:p w14:paraId="6627468B">
            <w:pPr>
              <w:jc w:val="center"/>
              <w:rPr>
                <w:rFonts w:hint="eastAsia" w:ascii="仿宋" w:hAnsi="仿宋" w:eastAsia="仿宋" w:cs="仿宋"/>
                <w:b/>
                <w:szCs w:val="21"/>
              </w:rPr>
            </w:pPr>
            <w:r>
              <w:rPr>
                <w:rFonts w:hint="eastAsia" w:ascii="仿宋" w:hAnsi="仿宋" w:eastAsia="仿宋" w:cs="仿宋"/>
                <w:b/>
                <w:szCs w:val="21"/>
              </w:rPr>
              <w:t>服务名称</w:t>
            </w:r>
          </w:p>
        </w:tc>
        <w:tc>
          <w:tcPr>
            <w:tcW w:w="1107" w:type="pct"/>
            <w:vAlign w:val="center"/>
          </w:tcPr>
          <w:p w14:paraId="0BCA24A8">
            <w:pPr>
              <w:widowControl/>
              <w:jc w:val="center"/>
              <w:textAlignment w:val="center"/>
              <w:rPr>
                <w:rFonts w:hint="eastAsia" w:ascii="仿宋" w:hAnsi="仿宋" w:eastAsia="仿宋" w:cs="仿宋"/>
                <w:b/>
                <w:szCs w:val="21"/>
              </w:rPr>
            </w:pPr>
            <w:r>
              <w:rPr>
                <w:rFonts w:hint="eastAsia" w:ascii="仿宋" w:hAnsi="仿宋" w:eastAsia="仿宋" w:cs="仿宋"/>
                <w:b/>
                <w:szCs w:val="21"/>
              </w:rPr>
              <w:t>服务内容</w:t>
            </w:r>
          </w:p>
        </w:tc>
        <w:tc>
          <w:tcPr>
            <w:tcW w:w="815" w:type="pct"/>
            <w:vAlign w:val="center"/>
          </w:tcPr>
          <w:p w14:paraId="64ECF28F">
            <w:pPr>
              <w:widowControl/>
              <w:jc w:val="center"/>
              <w:textAlignment w:val="center"/>
              <w:rPr>
                <w:rFonts w:hint="eastAsia" w:ascii="仿宋" w:hAnsi="仿宋" w:eastAsia="仿宋" w:cs="仿宋"/>
                <w:b/>
                <w:szCs w:val="21"/>
              </w:rPr>
            </w:pPr>
            <w:r>
              <w:rPr>
                <w:rFonts w:hint="eastAsia" w:ascii="仿宋" w:hAnsi="仿宋" w:eastAsia="仿宋" w:cs="仿宋"/>
                <w:b/>
                <w:bCs/>
                <w:kern w:val="0"/>
                <w:sz w:val="22"/>
                <w:szCs w:val="22"/>
                <w:lang w:bidi="ar"/>
              </w:rPr>
              <w:t>数量</w:t>
            </w:r>
          </w:p>
        </w:tc>
        <w:tc>
          <w:tcPr>
            <w:tcW w:w="756" w:type="pct"/>
            <w:vAlign w:val="center"/>
          </w:tcPr>
          <w:p w14:paraId="71223442">
            <w:pPr>
              <w:jc w:val="center"/>
              <w:rPr>
                <w:rFonts w:hint="eastAsia" w:ascii="仿宋" w:hAnsi="仿宋" w:eastAsia="仿宋" w:cs="仿宋"/>
                <w:b/>
                <w:szCs w:val="21"/>
              </w:rPr>
            </w:pPr>
            <w:r>
              <w:rPr>
                <w:rFonts w:hint="eastAsia" w:ascii="仿宋" w:hAnsi="仿宋" w:eastAsia="仿宋" w:cs="仿宋"/>
                <w:b/>
                <w:szCs w:val="21"/>
              </w:rPr>
              <w:t>总价</w:t>
            </w:r>
          </w:p>
        </w:tc>
        <w:tc>
          <w:tcPr>
            <w:tcW w:w="430" w:type="pct"/>
            <w:vAlign w:val="center"/>
          </w:tcPr>
          <w:p w14:paraId="483BBFC9">
            <w:pPr>
              <w:jc w:val="center"/>
              <w:rPr>
                <w:rFonts w:hint="eastAsia" w:ascii="仿宋" w:hAnsi="仿宋" w:eastAsia="仿宋" w:cs="仿宋"/>
                <w:b/>
                <w:szCs w:val="21"/>
              </w:rPr>
            </w:pPr>
            <w:r>
              <w:rPr>
                <w:rFonts w:hint="eastAsia" w:ascii="仿宋" w:hAnsi="仿宋" w:eastAsia="仿宋" w:cs="仿宋"/>
                <w:b/>
                <w:szCs w:val="21"/>
              </w:rPr>
              <w:t>备注</w:t>
            </w:r>
          </w:p>
        </w:tc>
      </w:tr>
      <w:tr w14:paraId="18F39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3" w:type="pct"/>
            <w:vAlign w:val="center"/>
          </w:tcPr>
          <w:p w14:paraId="31153B1C">
            <w:pPr>
              <w:jc w:val="center"/>
              <w:rPr>
                <w:rFonts w:hint="eastAsia" w:ascii="仿宋" w:hAnsi="仿宋" w:eastAsia="仿宋" w:cs="仿宋"/>
                <w:szCs w:val="21"/>
              </w:rPr>
            </w:pPr>
            <w:r>
              <w:rPr>
                <w:rFonts w:hint="eastAsia" w:ascii="仿宋" w:hAnsi="仿宋" w:eastAsia="仿宋" w:cs="仿宋"/>
                <w:szCs w:val="21"/>
              </w:rPr>
              <w:t>1</w:t>
            </w:r>
          </w:p>
        </w:tc>
        <w:tc>
          <w:tcPr>
            <w:tcW w:w="1406" w:type="pct"/>
            <w:vAlign w:val="center"/>
          </w:tcPr>
          <w:p w14:paraId="168967AF">
            <w:pPr>
              <w:jc w:val="center"/>
              <w:rPr>
                <w:rFonts w:hint="eastAsia" w:ascii="仿宋" w:hAnsi="仿宋" w:eastAsia="仿宋" w:cs="仿宋"/>
                <w:szCs w:val="21"/>
              </w:rPr>
            </w:pPr>
          </w:p>
        </w:tc>
        <w:tc>
          <w:tcPr>
            <w:tcW w:w="1107" w:type="pct"/>
            <w:vAlign w:val="center"/>
          </w:tcPr>
          <w:p w14:paraId="305B5521">
            <w:pPr>
              <w:jc w:val="center"/>
              <w:rPr>
                <w:rFonts w:hint="eastAsia" w:ascii="仿宋" w:hAnsi="仿宋" w:eastAsia="仿宋" w:cs="仿宋"/>
                <w:szCs w:val="21"/>
              </w:rPr>
            </w:pPr>
          </w:p>
        </w:tc>
        <w:tc>
          <w:tcPr>
            <w:tcW w:w="815" w:type="pct"/>
            <w:vAlign w:val="center"/>
          </w:tcPr>
          <w:p w14:paraId="3ADDA170">
            <w:pPr>
              <w:jc w:val="center"/>
              <w:rPr>
                <w:rFonts w:hint="eastAsia" w:ascii="仿宋" w:hAnsi="仿宋" w:eastAsia="仿宋" w:cs="仿宋"/>
                <w:szCs w:val="21"/>
              </w:rPr>
            </w:pPr>
          </w:p>
        </w:tc>
        <w:tc>
          <w:tcPr>
            <w:tcW w:w="756" w:type="pct"/>
            <w:vAlign w:val="center"/>
          </w:tcPr>
          <w:p w14:paraId="63872658">
            <w:pPr>
              <w:jc w:val="center"/>
              <w:rPr>
                <w:rFonts w:hint="eastAsia" w:ascii="仿宋" w:hAnsi="仿宋" w:eastAsia="仿宋" w:cs="仿宋"/>
                <w:szCs w:val="21"/>
              </w:rPr>
            </w:pPr>
          </w:p>
        </w:tc>
        <w:tc>
          <w:tcPr>
            <w:tcW w:w="430" w:type="pct"/>
            <w:vAlign w:val="center"/>
          </w:tcPr>
          <w:p w14:paraId="52D6E3F2">
            <w:pPr>
              <w:jc w:val="center"/>
              <w:rPr>
                <w:rFonts w:hint="eastAsia" w:ascii="仿宋" w:hAnsi="仿宋" w:eastAsia="仿宋" w:cs="仿宋"/>
                <w:szCs w:val="21"/>
              </w:rPr>
            </w:pPr>
          </w:p>
        </w:tc>
      </w:tr>
      <w:tr w14:paraId="534B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3" w:type="pct"/>
            <w:vAlign w:val="center"/>
          </w:tcPr>
          <w:p w14:paraId="54D7D3B0">
            <w:pPr>
              <w:jc w:val="center"/>
              <w:rPr>
                <w:rFonts w:hint="eastAsia" w:ascii="仿宋" w:hAnsi="仿宋" w:eastAsia="仿宋" w:cs="仿宋"/>
                <w:szCs w:val="21"/>
              </w:rPr>
            </w:pPr>
            <w:r>
              <w:rPr>
                <w:rFonts w:hint="eastAsia" w:ascii="仿宋" w:hAnsi="仿宋" w:eastAsia="仿宋" w:cs="仿宋"/>
                <w:szCs w:val="21"/>
              </w:rPr>
              <w:t>2</w:t>
            </w:r>
          </w:p>
        </w:tc>
        <w:tc>
          <w:tcPr>
            <w:tcW w:w="1406" w:type="pct"/>
            <w:vAlign w:val="center"/>
          </w:tcPr>
          <w:p w14:paraId="76E0EB7D">
            <w:pPr>
              <w:jc w:val="center"/>
              <w:rPr>
                <w:rFonts w:hint="eastAsia" w:ascii="仿宋" w:hAnsi="仿宋" w:eastAsia="仿宋" w:cs="仿宋"/>
                <w:szCs w:val="21"/>
              </w:rPr>
            </w:pPr>
          </w:p>
        </w:tc>
        <w:tc>
          <w:tcPr>
            <w:tcW w:w="1107" w:type="pct"/>
            <w:vAlign w:val="center"/>
          </w:tcPr>
          <w:p w14:paraId="2DB71179">
            <w:pPr>
              <w:jc w:val="center"/>
              <w:rPr>
                <w:rFonts w:hint="eastAsia" w:ascii="仿宋" w:hAnsi="仿宋" w:eastAsia="仿宋" w:cs="仿宋"/>
                <w:szCs w:val="21"/>
              </w:rPr>
            </w:pPr>
          </w:p>
        </w:tc>
        <w:tc>
          <w:tcPr>
            <w:tcW w:w="815" w:type="pct"/>
            <w:vAlign w:val="center"/>
          </w:tcPr>
          <w:p w14:paraId="63261A8F">
            <w:pPr>
              <w:jc w:val="center"/>
              <w:rPr>
                <w:rFonts w:hint="eastAsia" w:ascii="仿宋" w:hAnsi="仿宋" w:eastAsia="仿宋" w:cs="仿宋"/>
                <w:szCs w:val="21"/>
              </w:rPr>
            </w:pPr>
          </w:p>
        </w:tc>
        <w:tc>
          <w:tcPr>
            <w:tcW w:w="756" w:type="pct"/>
            <w:vAlign w:val="center"/>
          </w:tcPr>
          <w:p w14:paraId="47D5C45A">
            <w:pPr>
              <w:jc w:val="center"/>
              <w:rPr>
                <w:rFonts w:hint="eastAsia" w:ascii="仿宋" w:hAnsi="仿宋" w:eastAsia="仿宋" w:cs="仿宋"/>
                <w:szCs w:val="21"/>
              </w:rPr>
            </w:pPr>
          </w:p>
        </w:tc>
        <w:tc>
          <w:tcPr>
            <w:tcW w:w="430" w:type="pct"/>
            <w:vAlign w:val="center"/>
          </w:tcPr>
          <w:p w14:paraId="6EDA99D1">
            <w:pPr>
              <w:jc w:val="center"/>
              <w:rPr>
                <w:rFonts w:hint="eastAsia" w:ascii="仿宋" w:hAnsi="仿宋" w:eastAsia="仿宋" w:cs="仿宋"/>
                <w:szCs w:val="21"/>
              </w:rPr>
            </w:pPr>
          </w:p>
        </w:tc>
      </w:tr>
      <w:tr w14:paraId="2E7D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3" w:type="pct"/>
            <w:vAlign w:val="center"/>
          </w:tcPr>
          <w:p w14:paraId="2105D94A">
            <w:pPr>
              <w:jc w:val="center"/>
              <w:rPr>
                <w:rFonts w:hint="eastAsia" w:ascii="仿宋" w:hAnsi="仿宋" w:eastAsia="仿宋" w:cs="仿宋"/>
                <w:szCs w:val="21"/>
              </w:rPr>
            </w:pPr>
            <w:r>
              <w:rPr>
                <w:rFonts w:hint="eastAsia" w:ascii="仿宋" w:hAnsi="仿宋" w:eastAsia="仿宋" w:cs="仿宋"/>
                <w:szCs w:val="21"/>
              </w:rPr>
              <w:t>3</w:t>
            </w:r>
          </w:p>
        </w:tc>
        <w:tc>
          <w:tcPr>
            <w:tcW w:w="1406" w:type="pct"/>
            <w:vAlign w:val="center"/>
          </w:tcPr>
          <w:p w14:paraId="786DA161">
            <w:pPr>
              <w:jc w:val="center"/>
              <w:rPr>
                <w:rFonts w:hint="eastAsia" w:ascii="仿宋" w:hAnsi="仿宋" w:eastAsia="仿宋" w:cs="仿宋"/>
                <w:szCs w:val="21"/>
              </w:rPr>
            </w:pPr>
          </w:p>
        </w:tc>
        <w:tc>
          <w:tcPr>
            <w:tcW w:w="1107" w:type="pct"/>
            <w:vAlign w:val="center"/>
          </w:tcPr>
          <w:p w14:paraId="20D4FA9B">
            <w:pPr>
              <w:jc w:val="center"/>
              <w:rPr>
                <w:rFonts w:hint="eastAsia" w:ascii="仿宋" w:hAnsi="仿宋" w:eastAsia="仿宋" w:cs="仿宋"/>
                <w:szCs w:val="21"/>
              </w:rPr>
            </w:pPr>
          </w:p>
        </w:tc>
        <w:tc>
          <w:tcPr>
            <w:tcW w:w="815" w:type="pct"/>
            <w:vAlign w:val="center"/>
          </w:tcPr>
          <w:p w14:paraId="259EC33C">
            <w:pPr>
              <w:jc w:val="center"/>
              <w:rPr>
                <w:rFonts w:hint="eastAsia" w:ascii="仿宋" w:hAnsi="仿宋" w:eastAsia="仿宋" w:cs="仿宋"/>
                <w:szCs w:val="21"/>
              </w:rPr>
            </w:pPr>
          </w:p>
        </w:tc>
        <w:tc>
          <w:tcPr>
            <w:tcW w:w="756" w:type="pct"/>
            <w:vAlign w:val="center"/>
          </w:tcPr>
          <w:p w14:paraId="56B48DBE">
            <w:pPr>
              <w:jc w:val="center"/>
              <w:rPr>
                <w:rFonts w:hint="eastAsia" w:ascii="仿宋" w:hAnsi="仿宋" w:eastAsia="仿宋" w:cs="仿宋"/>
                <w:szCs w:val="21"/>
              </w:rPr>
            </w:pPr>
          </w:p>
        </w:tc>
        <w:tc>
          <w:tcPr>
            <w:tcW w:w="430" w:type="pct"/>
            <w:vAlign w:val="center"/>
          </w:tcPr>
          <w:p w14:paraId="67AE8DA9">
            <w:pPr>
              <w:jc w:val="center"/>
              <w:rPr>
                <w:rFonts w:hint="eastAsia" w:ascii="仿宋" w:hAnsi="仿宋" w:eastAsia="仿宋" w:cs="仿宋"/>
                <w:szCs w:val="21"/>
              </w:rPr>
            </w:pPr>
          </w:p>
        </w:tc>
      </w:tr>
      <w:tr w14:paraId="14609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3" w:type="pct"/>
            <w:vAlign w:val="center"/>
          </w:tcPr>
          <w:p w14:paraId="1C9F73C6">
            <w:pPr>
              <w:jc w:val="center"/>
              <w:rPr>
                <w:rFonts w:hint="eastAsia" w:ascii="仿宋" w:hAnsi="仿宋" w:eastAsia="仿宋" w:cs="仿宋"/>
                <w:szCs w:val="21"/>
              </w:rPr>
            </w:pPr>
            <w:r>
              <w:rPr>
                <w:rFonts w:hint="eastAsia" w:ascii="仿宋" w:hAnsi="仿宋" w:eastAsia="仿宋" w:cs="仿宋"/>
                <w:szCs w:val="21"/>
              </w:rPr>
              <w:t>...</w:t>
            </w:r>
          </w:p>
        </w:tc>
        <w:tc>
          <w:tcPr>
            <w:tcW w:w="1406" w:type="pct"/>
            <w:vAlign w:val="center"/>
          </w:tcPr>
          <w:p w14:paraId="2C2923C9">
            <w:pPr>
              <w:jc w:val="center"/>
              <w:rPr>
                <w:rFonts w:hint="eastAsia" w:ascii="仿宋" w:hAnsi="仿宋" w:eastAsia="仿宋" w:cs="仿宋"/>
                <w:szCs w:val="21"/>
              </w:rPr>
            </w:pPr>
          </w:p>
        </w:tc>
        <w:tc>
          <w:tcPr>
            <w:tcW w:w="1107" w:type="pct"/>
            <w:vAlign w:val="center"/>
          </w:tcPr>
          <w:p w14:paraId="414E99FB">
            <w:pPr>
              <w:jc w:val="center"/>
              <w:rPr>
                <w:rFonts w:hint="eastAsia" w:ascii="仿宋" w:hAnsi="仿宋" w:eastAsia="仿宋" w:cs="仿宋"/>
                <w:szCs w:val="21"/>
              </w:rPr>
            </w:pPr>
          </w:p>
        </w:tc>
        <w:tc>
          <w:tcPr>
            <w:tcW w:w="815" w:type="pct"/>
            <w:vAlign w:val="center"/>
          </w:tcPr>
          <w:p w14:paraId="7F76025A">
            <w:pPr>
              <w:jc w:val="center"/>
              <w:rPr>
                <w:rFonts w:hint="eastAsia" w:ascii="仿宋" w:hAnsi="仿宋" w:eastAsia="仿宋" w:cs="仿宋"/>
                <w:szCs w:val="21"/>
              </w:rPr>
            </w:pPr>
          </w:p>
        </w:tc>
        <w:tc>
          <w:tcPr>
            <w:tcW w:w="756" w:type="pct"/>
            <w:vAlign w:val="center"/>
          </w:tcPr>
          <w:p w14:paraId="6D454488">
            <w:pPr>
              <w:jc w:val="center"/>
              <w:rPr>
                <w:rFonts w:hint="eastAsia" w:ascii="仿宋" w:hAnsi="仿宋" w:eastAsia="仿宋" w:cs="仿宋"/>
                <w:szCs w:val="21"/>
              </w:rPr>
            </w:pPr>
          </w:p>
        </w:tc>
        <w:tc>
          <w:tcPr>
            <w:tcW w:w="430" w:type="pct"/>
            <w:vAlign w:val="center"/>
          </w:tcPr>
          <w:p w14:paraId="15630FC4">
            <w:pPr>
              <w:jc w:val="center"/>
              <w:rPr>
                <w:rFonts w:hint="eastAsia" w:ascii="仿宋" w:hAnsi="仿宋" w:eastAsia="仿宋" w:cs="仿宋"/>
                <w:szCs w:val="21"/>
              </w:rPr>
            </w:pPr>
          </w:p>
        </w:tc>
      </w:tr>
    </w:tbl>
    <w:p w14:paraId="59874CC2">
      <w:pPr>
        <w:spacing w:line="400" w:lineRule="exact"/>
        <w:jc w:val="right"/>
        <w:rPr>
          <w:rFonts w:hint="eastAsia" w:ascii="仿宋" w:hAnsi="仿宋" w:eastAsia="仿宋" w:cs="仿宋"/>
          <w:b/>
          <w:bCs/>
        </w:rPr>
      </w:pPr>
    </w:p>
    <w:p w14:paraId="369881B9">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备注：</w:t>
      </w:r>
    </w:p>
    <w:p w14:paraId="13B5687B">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1.供应商可根据自身对项目理解进行分项报价，内容自拟。</w:t>
      </w:r>
    </w:p>
    <w:p w14:paraId="3175FB18">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2.按人民币报价，所有报价经四舍五入后保留小数点后两位。</w:t>
      </w:r>
    </w:p>
    <w:p w14:paraId="162E9B57">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3.投标文件报价出现前后不一致的，除招标文件另有规定外，按照下列规定修正：</w:t>
      </w:r>
    </w:p>
    <w:p w14:paraId="150A275C">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（一）投标文件中开标一览表（报价表）内容与投标文件中相应内容不一致的，以开标一览表（报价表）为准；</w:t>
      </w:r>
    </w:p>
    <w:p w14:paraId="4194A43A">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（二）大写金额和小写金额不一致的，以大写金额为准；</w:t>
      </w:r>
    </w:p>
    <w:p w14:paraId="7E6D1A8F">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（三）单价金额小数点或者百分比有明显错位的，以开标一览表的总价为准，并修改单价；</w:t>
      </w:r>
    </w:p>
    <w:p w14:paraId="3AA0E9D1">
      <w:pPr>
        <w:spacing w:after="0" w:line="240" w:lineRule="auto"/>
        <w:rPr>
          <w:rFonts w:hint="eastAsia" w:ascii="仿宋" w:hAnsi="仿宋" w:eastAsia="仿宋" w:cs="仿宋"/>
          <w:b/>
          <w:bCs/>
          <w:sz w:val="20"/>
          <w:szCs w:val="22"/>
        </w:rPr>
      </w:pPr>
      <w:r>
        <w:rPr>
          <w:rFonts w:hint="eastAsia" w:ascii="仿宋" w:hAnsi="仿宋" w:eastAsia="仿宋" w:cs="仿宋"/>
          <w:b/>
          <w:bCs/>
          <w:sz w:val="20"/>
          <w:szCs w:val="22"/>
        </w:rPr>
        <w:t>（四）总价金额与按单价汇总金额不一致的，以单价金额计算结果为准。</w:t>
      </w:r>
    </w:p>
    <w:p w14:paraId="4A36D928">
      <w:pPr>
        <w:spacing w:after="0" w:line="240" w:lineRule="auto"/>
        <w:rPr>
          <w:rFonts w:hint="eastAsia" w:ascii="仿宋" w:hAnsi="仿宋" w:eastAsia="仿宋" w:cs="仿宋"/>
          <w:sz w:val="20"/>
          <w:szCs w:val="22"/>
        </w:rPr>
      </w:pPr>
      <w:r>
        <w:rPr>
          <w:rFonts w:hint="eastAsia" w:ascii="仿宋" w:hAnsi="仿宋" w:eastAsia="仿宋" w:cs="仿宋"/>
          <w:b/>
          <w:bCs/>
          <w:sz w:val="20"/>
          <w:szCs w:val="22"/>
        </w:rPr>
        <w:t>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3535B264">
      <w:pPr>
        <w:pStyle w:val="4"/>
        <w:rPr>
          <w:rFonts w:hint="eastAsia" w:ascii="仿宋" w:hAnsi="仿宋" w:eastAsia="仿宋" w:cs="仿宋"/>
        </w:rPr>
      </w:pPr>
    </w:p>
    <w:p w14:paraId="68097E84">
      <w:pPr>
        <w:spacing w:line="400" w:lineRule="exact"/>
        <w:jc w:val="right"/>
        <w:rPr>
          <w:rFonts w:hint="eastAsia" w:ascii="仿宋" w:hAnsi="仿宋" w:eastAsia="仿宋" w:cs="仿宋"/>
          <w:b/>
          <w:bCs/>
        </w:rPr>
      </w:pPr>
      <w:r>
        <w:rPr>
          <w:rFonts w:hint="eastAsia" w:ascii="仿宋" w:hAnsi="仿宋" w:eastAsia="仿宋" w:cs="仿宋"/>
          <w:b/>
          <w:bCs/>
        </w:rPr>
        <w:t xml:space="preserve">投标单位名称： </w:t>
      </w:r>
      <w:r>
        <w:rPr>
          <w:rFonts w:hint="eastAsia" w:ascii="仿宋" w:hAnsi="仿宋" w:eastAsia="仿宋" w:cs="仿宋"/>
          <w:b/>
          <w:bCs/>
          <w:u w:val="single"/>
        </w:rPr>
        <w:t xml:space="preserve">                          </w:t>
      </w:r>
      <w:r>
        <w:rPr>
          <w:rFonts w:hint="eastAsia" w:ascii="仿宋" w:hAnsi="仿宋" w:eastAsia="仿宋" w:cs="仿宋"/>
          <w:b/>
          <w:bCs/>
        </w:rPr>
        <w:t>（盖单位公章）</w:t>
      </w:r>
    </w:p>
    <w:p w14:paraId="4F478623">
      <w:pPr>
        <w:spacing w:line="400" w:lineRule="exact"/>
        <w:jc w:val="right"/>
        <w:rPr>
          <w:rFonts w:hint="eastAsia" w:ascii="仿宋" w:hAnsi="仿宋" w:eastAsia="仿宋" w:cs="仿宋"/>
          <w:b/>
          <w:bCs/>
        </w:rPr>
      </w:pPr>
      <w:r>
        <w:rPr>
          <w:rFonts w:hint="eastAsia" w:ascii="仿宋" w:hAnsi="仿宋" w:eastAsia="仿宋" w:cs="仿宋"/>
          <w:b/>
          <w:bCs/>
        </w:rPr>
        <w:t xml:space="preserve">法定代表人或者其委托代理人： </w:t>
      </w:r>
      <w:r>
        <w:rPr>
          <w:rFonts w:hint="eastAsia" w:ascii="仿宋" w:hAnsi="仿宋" w:eastAsia="仿宋" w:cs="仿宋"/>
          <w:b/>
          <w:bCs/>
          <w:u w:val="single"/>
        </w:rPr>
        <w:t xml:space="preserve">              </w:t>
      </w:r>
      <w:r>
        <w:rPr>
          <w:rFonts w:hint="eastAsia" w:ascii="仿宋" w:hAnsi="仿宋" w:eastAsia="仿宋" w:cs="仿宋"/>
          <w:b/>
          <w:bCs/>
        </w:rPr>
        <w:t>（签字）</w:t>
      </w:r>
    </w:p>
    <w:p w14:paraId="05F1D40B">
      <w:pPr>
        <w:spacing w:line="400" w:lineRule="exact"/>
        <w:jc w:val="right"/>
        <w:rPr>
          <w:rFonts w:hint="eastAsia" w:ascii="仿宋" w:hAnsi="仿宋" w:eastAsia="仿宋" w:cs="仿宋"/>
          <w:b/>
          <w:bCs/>
        </w:rPr>
      </w:pPr>
      <w:r>
        <w:rPr>
          <w:rFonts w:hint="eastAsia" w:ascii="仿宋" w:hAnsi="仿宋" w:eastAsia="仿宋" w:cs="仿宋"/>
          <w:b/>
          <w:bCs/>
        </w:rPr>
        <w:t xml:space="preserve">         年         月         日</w:t>
      </w:r>
    </w:p>
    <w:p w14:paraId="29606FFB">
      <w:pPr>
        <w:pStyle w:val="4"/>
        <w:rPr>
          <w:rFonts w:hint="eastAsia" w:ascii="仿宋" w:hAnsi="仿宋" w:eastAsia="仿宋" w:cs="仿宋"/>
        </w:rPr>
        <w:sectPr>
          <w:pgSz w:w="11906" w:h="16838"/>
          <w:pgMar w:top="1440" w:right="1800" w:bottom="1440" w:left="1800" w:header="851" w:footer="992" w:gutter="0"/>
          <w:cols w:space="720" w:num="1"/>
          <w:docGrid w:type="lines" w:linePitch="312" w:charSpace="0"/>
        </w:sectPr>
      </w:pPr>
    </w:p>
    <w:p w14:paraId="73B4BCAF">
      <w:pPr>
        <w:pStyle w:val="14"/>
        <w:numPr>
          <w:ilvl w:val="1"/>
          <w:numId w:val="0"/>
        </w:numPr>
        <w:tabs>
          <w:tab w:val="left" w:pos="588"/>
        </w:tabs>
        <w:snapToGrid w:val="0"/>
        <w:spacing w:before="120" w:after="120" w:line="400" w:lineRule="exact"/>
        <w:jc w:val="left"/>
        <w:outlineLvl w:val="2"/>
        <w:rPr>
          <w:rFonts w:hint="eastAsia" w:ascii="仿宋" w:hAnsi="仿宋" w:eastAsia="仿宋" w:cs="仿宋"/>
        </w:rPr>
      </w:pPr>
      <w:bookmarkStart w:id="719" w:name="_Toc14759"/>
      <w:bookmarkStart w:id="720" w:name="_Toc987"/>
      <w:bookmarkStart w:id="721" w:name="_Toc28249"/>
      <w:r>
        <w:rPr>
          <w:rFonts w:hint="eastAsia" w:ascii="仿宋" w:hAnsi="仿宋" w:eastAsia="仿宋" w:cs="仿宋"/>
          <w:sz w:val="24"/>
          <w:szCs w:val="21"/>
        </w:rPr>
        <w:t>3.评分标准要求递交的证明文件</w:t>
      </w:r>
      <w:bookmarkEnd w:id="719"/>
      <w:bookmarkEnd w:id="720"/>
      <w:bookmarkEnd w:id="721"/>
    </w:p>
    <w:p w14:paraId="77B770DE">
      <w:pPr>
        <w:rPr>
          <w:rFonts w:hint="eastAsia" w:ascii="仿宋" w:hAnsi="仿宋" w:eastAsia="仿宋" w:cs="仿宋"/>
          <w:kern w:val="0"/>
          <w:szCs w:val="21"/>
        </w:rPr>
      </w:pPr>
      <w:r>
        <w:rPr>
          <w:rFonts w:hint="eastAsia" w:ascii="仿宋" w:hAnsi="仿宋" w:eastAsia="仿宋" w:cs="仿宋"/>
          <w:kern w:val="0"/>
          <w:szCs w:val="21"/>
        </w:rPr>
        <w:t>（格式自拟）</w:t>
      </w:r>
    </w:p>
    <w:p w14:paraId="5371F90C">
      <w:pPr>
        <w:widowControl/>
        <w:spacing w:line="400" w:lineRule="exact"/>
        <w:jc w:val="left"/>
        <w:rPr>
          <w:rFonts w:hint="eastAsia" w:ascii="仿宋" w:hAnsi="仿宋" w:eastAsia="仿宋" w:cs="仿宋"/>
          <w:kern w:val="0"/>
          <w:szCs w:val="21"/>
        </w:rPr>
      </w:pPr>
    </w:p>
    <w:p w14:paraId="566C19B3">
      <w:pPr>
        <w:pStyle w:val="4"/>
        <w:spacing w:line="400" w:lineRule="exact"/>
        <w:rPr>
          <w:rFonts w:hint="eastAsia" w:ascii="仿宋" w:hAnsi="仿宋" w:eastAsia="仿宋" w:cs="仿宋"/>
          <w:sz w:val="21"/>
          <w:szCs w:val="21"/>
        </w:rPr>
      </w:pPr>
    </w:p>
    <w:p w14:paraId="0C22C7CA">
      <w:pPr>
        <w:pStyle w:val="14"/>
        <w:numPr>
          <w:ilvl w:val="1"/>
          <w:numId w:val="0"/>
        </w:numPr>
        <w:tabs>
          <w:tab w:val="left" w:pos="588"/>
        </w:tabs>
        <w:snapToGrid w:val="0"/>
        <w:spacing w:before="120" w:after="120" w:line="400" w:lineRule="exact"/>
        <w:jc w:val="left"/>
        <w:outlineLvl w:val="2"/>
        <w:rPr>
          <w:rFonts w:hint="eastAsia" w:ascii="仿宋" w:hAnsi="仿宋" w:eastAsia="仿宋" w:cs="仿宋"/>
          <w:kern w:val="0"/>
          <w:sz w:val="24"/>
          <w:szCs w:val="24"/>
        </w:rPr>
      </w:pPr>
      <w:r>
        <w:rPr>
          <w:rFonts w:hint="eastAsia" w:ascii="仿宋" w:hAnsi="仿宋" w:eastAsia="仿宋" w:cs="仿宋"/>
          <w:kern w:val="0"/>
          <w:sz w:val="24"/>
          <w:szCs w:val="24"/>
        </w:rPr>
        <w:br w:type="page"/>
      </w:r>
      <w:bookmarkStart w:id="722" w:name="_Toc22189"/>
      <w:bookmarkStart w:id="723" w:name="_Toc24015"/>
      <w:bookmarkStart w:id="724" w:name="_Toc16534"/>
      <w:r>
        <w:rPr>
          <w:rFonts w:hint="eastAsia" w:ascii="仿宋" w:hAnsi="仿宋" w:eastAsia="仿宋" w:cs="仿宋"/>
          <w:kern w:val="0"/>
          <w:sz w:val="24"/>
          <w:szCs w:val="24"/>
        </w:rPr>
        <w:t>4.中小企业声明函</w:t>
      </w:r>
      <w:bookmarkEnd w:id="722"/>
      <w:bookmarkEnd w:id="723"/>
      <w:bookmarkEnd w:id="724"/>
    </w:p>
    <w:p w14:paraId="2D57491B">
      <w:pPr>
        <w:widowControl/>
        <w:spacing w:after="0" w:line="240" w:lineRule="auto"/>
        <w:jc w:val="center"/>
        <w:rPr>
          <w:rFonts w:hint="eastAsia" w:ascii="仿宋" w:hAnsi="仿宋" w:eastAsia="仿宋" w:cs="仿宋"/>
          <w:b/>
          <w:kern w:val="0"/>
          <w:sz w:val="24"/>
        </w:rPr>
      </w:pPr>
      <w:r>
        <w:rPr>
          <w:rFonts w:hint="eastAsia" w:ascii="仿宋" w:hAnsi="仿宋" w:eastAsia="仿宋" w:cs="仿宋"/>
          <w:b/>
          <w:kern w:val="0"/>
          <w:sz w:val="24"/>
        </w:rPr>
        <w:t>中小企业声明函（工程、服务）</w:t>
      </w:r>
    </w:p>
    <w:p w14:paraId="089C578B">
      <w:pPr>
        <w:widowControl/>
        <w:spacing w:after="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本公司（联合体）郑重声明，根据《政府采购促进中小企业发展管理办法》（财库﹝2020﹞46 号）的规定，本公司（联合体）参加</w:t>
      </w:r>
      <w:r>
        <w:rPr>
          <w:rFonts w:hint="eastAsia" w:ascii="仿宋" w:hAnsi="仿宋" w:eastAsia="仿宋" w:cs="仿宋"/>
          <w:i/>
          <w:kern w:val="0"/>
          <w:szCs w:val="21"/>
          <w:u w:val="single"/>
        </w:rPr>
        <w:t>（单位名称）</w:t>
      </w:r>
      <w:r>
        <w:rPr>
          <w:rFonts w:hint="eastAsia" w:ascii="仿宋" w:hAnsi="仿宋" w:eastAsia="仿宋" w:cs="仿宋"/>
          <w:kern w:val="0"/>
          <w:szCs w:val="21"/>
        </w:rPr>
        <w:t>的</w:t>
      </w:r>
      <w:r>
        <w:rPr>
          <w:rFonts w:hint="eastAsia" w:ascii="仿宋" w:hAnsi="仿宋" w:eastAsia="仿宋" w:cs="仿宋"/>
          <w:i/>
          <w:kern w:val="0"/>
          <w:szCs w:val="21"/>
          <w:u w:val="single"/>
        </w:rPr>
        <w:t>（项目名称）</w:t>
      </w:r>
      <w:r>
        <w:rPr>
          <w:rFonts w:hint="eastAsia" w:ascii="仿宋" w:hAnsi="仿宋" w:eastAsia="仿宋" w:cs="仿宋"/>
          <w:kern w:val="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70D734F4">
      <w:pPr>
        <w:widowControl/>
        <w:spacing w:after="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1.</w:t>
      </w:r>
      <w:r>
        <w:rPr>
          <w:rFonts w:hint="eastAsia" w:ascii="仿宋" w:hAnsi="仿宋" w:eastAsia="仿宋" w:cs="仿宋"/>
          <w:i/>
          <w:kern w:val="0"/>
          <w:szCs w:val="21"/>
          <w:u w:val="single"/>
        </w:rPr>
        <w:t xml:space="preserve">（标的名称） </w:t>
      </w:r>
      <w:r>
        <w:rPr>
          <w:rFonts w:hint="eastAsia" w:ascii="仿宋" w:hAnsi="仿宋" w:eastAsia="仿宋" w:cs="仿宋"/>
          <w:kern w:val="0"/>
          <w:szCs w:val="21"/>
        </w:rPr>
        <w:t>，属于</w:t>
      </w:r>
      <w:r>
        <w:rPr>
          <w:rFonts w:hint="eastAsia" w:ascii="仿宋" w:hAnsi="仿宋" w:eastAsia="仿宋" w:cs="仿宋"/>
          <w:i/>
          <w:kern w:val="0"/>
          <w:szCs w:val="21"/>
          <w:u w:val="single"/>
        </w:rPr>
        <w:t>（招标文件中明确的所属行业）行业</w:t>
      </w:r>
      <w:r>
        <w:rPr>
          <w:rFonts w:hint="eastAsia" w:ascii="仿宋" w:hAnsi="仿宋" w:eastAsia="仿宋" w:cs="仿宋"/>
          <w:kern w:val="0"/>
          <w:szCs w:val="21"/>
        </w:rPr>
        <w:t>；承建（承接）企业为</w:t>
      </w:r>
      <w:r>
        <w:rPr>
          <w:rFonts w:hint="eastAsia" w:ascii="仿宋" w:hAnsi="仿宋" w:eastAsia="仿宋" w:cs="仿宋"/>
          <w:i/>
          <w:kern w:val="0"/>
          <w:szCs w:val="21"/>
          <w:u w:val="single"/>
        </w:rPr>
        <w:t>（企业名称）</w:t>
      </w:r>
      <w:r>
        <w:rPr>
          <w:rFonts w:hint="eastAsia" w:ascii="仿宋" w:hAnsi="仿宋" w:eastAsia="仿宋" w:cs="仿宋"/>
          <w:kern w:val="0"/>
          <w:szCs w:val="21"/>
        </w:rPr>
        <w:t>，从业人员</w:t>
      </w:r>
      <w:r>
        <w:rPr>
          <w:rFonts w:hint="eastAsia" w:ascii="仿宋" w:hAnsi="仿宋" w:eastAsia="仿宋" w:cs="仿宋"/>
          <w:kern w:val="0"/>
          <w:szCs w:val="21"/>
          <w:u w:val="single"/>
        </w:rPr>
        <w:t xml:space="preserve">     </w:t>
      </w:r>
      <w:r>
        <w:rPr>
          <w:rFonts w:hint="eastAsia" w:ascii="仿宋" w:hAnsi="仿宋" w:eastAsia="仿宋" w:cs="仿宋"/>
          <w:kern w:val="0"/>
          <w:szCs w:val="21"/>
        </w:rPr>
        <w:t>人，营业收入为</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万元，资产总额为 </w:t>
      </w:r>
      <w:r>
        <w:rPr>
          <w:rFonts w:hint="eastAsia" w:ascii="仿宋" w:hAnsi="仿宋" w:eastAsia="仿宋" w:cs="仿宋"/>
          <w:kern w:val="0"/>
          <w:szCs w:val="21"/>
          <w:u w:val="single"/>
        </w:rPr>
        <w:t xml:space="preserve">     </w:t>
      </w:r>
      <w:r>
        <w:rPr>
          <w:rFonts w:hint="eastAsia" w:ascii="仿宋" w:hAnsi="仿宋" w:eastAsia="仿宋" w:cs="仿宋"/>
          <w:kern w:val="0"/>
          <w:szCs w:val="21"/>
        </w:rPr>
        <w:t>万元¹，属于</w:t>
      </w:r>
      <w:r>
        <w:rPr>
          <w:rFonts w:hint="eastAsia" w:ascii="仿宋" w:hAnsi="仿宋" w:eastAsia="仿宋" w:cs="仿宋"/>
          <w:i/>
          <w:kern w:val="0"/>
          <w:szCs w:val="21"/>
          <w:u w:val="single"/>
        </w:rPr>
        <w:t>（中型企业、小型企业、微型企业）</w:t>
      </w:r>
      <w:r>
        <w:rPr>
          <w:rFonts w:hint="eastAsia" w:ascii="仿宋" w:hAnsi="仿宋" w:eastAsia="仿宋" w:cs="仿宋"/>
          <w:kern w:val="0"/>
          <w:szCs w:val="21"/>
        </w:rPr>
        <w:t xml:space="preserve">； </w:t>
      </w:r>
    </w:p>
    <w:p w14:paraId="0B175D18">
      <w:pPr>
        <w:widowControl/>
        <w:spacing w:after="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2.</w:t>
      </w:r>
      <w:r>
        <w:rPr>
          <w:rFonts w:hint="eastAsia" w:ascii="仿宋" w:hAnsi="仿宋" w:eastAsia="仿宋" w:cs="仿宋"/>
          <w:i/>
          <w:kern w:val="0"/>
          <w:szCs w:val="21"/>
          <w:u w:val="single"/>
        </w:rPr>
        <w:t xml:space="preserve">（标的名称） </w:t>
      </w:r>
      <w:r>
        <w:rPr>
          <w:rFonts w:hint="eastAsia" w:ascii="仿宋" w:hAnsi="仿宋" w:eastAsia="仿宋" w:cs="仿宋"/>
          <w:kern w:val="0"/>
          <w:szCs w:val="21"/>
        </w:rPr>
        <w:t>，属于</w:t>
      </w:r>
      <w:r>
        <w:rPr>
          <w:rFonts w:hint="eastAsia" w:ascii="仿宋" w:hAnsi="仿宋" w:eastAsia="仿宋" w:cs="仿宋"/>
          <w:i/>
          <w:kern w:val="0"/>
          <w:szCs w:val="21"/>
          <w:u w:val="single"/>
        </w:rPr>
        <w:t>（招标文件中明确的所属行业）行业</w:t>
      </w:r>
      <w:r>
        <w:rPr>
          <w:rFonts w:hint="eastAsia" w:ascii="仿宋" w:hAnsi="仿宋" w:eastAsia="仿宋" w:cs="仿宋"/>
          <w:kern w:val="0"/>
          <w:szCs w:val="21"/>
        </w:rPr>
        <w:t>；承建（承接）企业为</w:t>
      </w:r>
      <w:r>
        <w:rPr>
          <w:rFonts w:hint="eastAsia" w:ascii="仿宋" w:hAnsi="仿宋" w:eastAsia="仿宋" w:cs="仿宋"/>
          <w:i/>
          <w:kern w:val="0"/>
          <w:szCs w:val="21"/>
          <w:u w:val="single"/>
        </w:rPr>
        <w:t>（企业名称）</w:t>
      </w:r>
      <w:r>
        <w:rPr>
          <w:rFonts w:hint="eastAsia" w:ascii="仿宋" w:hAnsi="仿宋" w:eastAsia="仿宋" w:cs="仿宋"/>
          <w:kern w:val="0"/>
          <w:szCs w:val="21"/>
        </w:rPr>
        <w:t>，从业人员</w:t>
      </w:r>
      <w:r>
        <w:rPr>
          <w:rFonts w:hint="eastAsia" w:ascii="仿宋" w:hAnsi="仿宋" w:eastAsia="仿宋" w:cs="仿宋"/>
          <w:kern w:val="0"/>
          <w:szCs w:val="21"/>
          <w:u w:val="single"/>
        </w:rPr>
        <w:t xml:space="preserve">     </w:t>
      </w:r>
      <w:r>
        <w:rPr>
          <w:rFonts w:hint="eastAsia" w:ascii="仿宋" w:hAnsi="仿宋" w:eastAsia="仿宋" w:cs="仿宋"/>
          <w:kern w:val="0"/>
          <w:szCs w:val="21"/>
        </w:rPr>
        <w:t>人，营业收入为</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万元，资产总额为 </w:t>
      </w:r>
      <w:r>
        <w:rPr>
          <w:rFonts w:hint="eastAsia" w:ascii="仿宋" w:hAnsi="仿宋" w:eastAsia="仿宋" w:cs="仿宋"/>
          <w:kern w:val="0"/>
          <w:szCs w:val="21"/>
          <w:u w:val="single"/>
        </w:rPr>
        <w:t xml:space="preserve">     </w:t>
      </w:r>
      <w:r>
        <w:rPr>
          <w:rFonts w:hint="eastAsia" w:ascii="仿宋" w:hAnsi="仿宋" w:eastAsia="仿宋" w:cs="仿宋"/>
          <w:kern w:val="0"/>
          <w:szCs w:val="21"/>
        </w:rPr>
        <w:t>万元¹，属于</w:t>
      </w:r>
      <w:r>
        <w:rPr>
          <w:rFonts w:hint="eastAsia" w:ascii="仿宋" w:hAnsi="仿宋" w:eastAsia="仿宋" w:cs="仿宋"/>
          <w:i/>
          <w:kern w:val="0"/>
          <w:szCs w:val="21"/>
          <w:u w:val="single"/>
        </w:rPr>
        <w:t>（中型企业、小型企业、微型企业）</w:t>
      </w:r>
      <w:r>
        <w:rPr>
          <w:rFonts w:hint="eastAsia" w:ascii="仿宋" w:hAnsi="仿宋" w:eastAsia="仿宋" w:cs="仿宋"/>
          <w:kern w:val="0"/>
          <w:szCs w:val="21"/>
        </w:rPr>
        <w:t xml:space="preserve">； </w:t>
      </w:r>
    </w:p>
    <w:p w14:paraId="1A5B1D4A">
      <w:pPr>
        <w:widowControl/>
        <w:spacing w:after="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w:t>
      </w:r>
    </w:p>
    <w:p w14:paraId="347F62DF">
      <w:pPr>
        <w:widowControl/>
        <w:spacing w:after="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以上企业，不属于大企业的分支机构，不存在控股股东为大企业的情形，也不存在与大企业的负责人为同一人的情形。</w:t>
      </w:r>
    </w:p>
    <w:p w14:paraId="1600C753">
      <w:pPr>
        <w:widowControl/>
        <w:spacing w:after="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 xml:space="preserve">本企业对上述声明内容的真实性负责。如有虚假，将依法承担相应责任。 </w:t>
      </w:r>
    </w:p>
    <w:p w14:paraId="36EB8B7A">
      <w:pPr>
        <w:widowControl/>
        <w:spacing w:after="0" w:line="360" w:lineRule="auto"/>
        <w:ind w:firstLine="360" w:firstLineChars="200"/>
        <w:rPr>
          <w:rFonts w:hint="eastAsia" w:ascii="仿宋" w:hAnsi="仿宋" w:eastAsia="仿宋" w:cs="仿宋"/>
          <w:kern w:val="0"/>
          <w:szCs w:val="21"/>
        </w:rPr>
      </w:pPr>
      <w:r>
        <w:rPr>
          <w:rFonts w:hint="eastAsia" w:ascii="仿宋" w:hAnsi="仿宋" w:eastAsia="仿宋" w:cs="仿宋"/>
          <w:b/>
          <w:bCs/>
          <w:kern w:val="0"/>
          <w:sz w:val="18"/>
          <w:szCs w:val="18"/>
        </w:rPr>
        <w:t>从业人员、营业收入、资产总额填报上一年度数据，无上一年度数据的新成立企业可不填报。</w:t>
      </w:r>
    </w:p>
    <w:p w14:paraId="05529660">
      <w:pPr>
        <w:widowControl/>
        <w:spacing w:after="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注：1、投标单位符合《工业和信息化部、国家统计局、国家发展和改革委员会、财政部关于印发中小企业划型标准规定的通知》或《政府采购支持监狱企业发展有关问题的通知》（财库〔2014〕68号）规定的划分标准为中小微型企业或监狱企业适用。</w:t>
      </w:r>
    </w:p>
    <w:p w14:paraId="4C5F8630">
      <w:pPr>
        <w:widowControl/>
        <w:spacing w:after="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在采购活动中，监狱企业视同小型、微型企业，享受预留份额、评审中价格扣除等适用促进中小企业发展的采购政策。（监狱企业参加采购活动时，还应当提供由省级以上监狱管理局、戒毒管理局(含新疆生产建设兵团)出具的属于监狱企业的证明文件。）</w:t>
      </w:r>
    </w:p>
    <w:p w14:paraId="07ABCAD0">
      <w:pPr>
        <w:widowControl/>
        <w:spacing w:after="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3、投标单位为非监狱企业单位的，可不提供此声明。</w:t>
      </w:r>
    </w:p>
    <w:p w14:paraId="64904C33">
      <w:pPr>
        <w:widowControl/>
        <w:spacing w:after="0" w:line="360" w:lineRule="auto"/>
        <w:ind w:firstLine="420" w:firstLineChars="200"/>
        <w:rPr>
          <w:rFonts w:hint="eastAsia" w:ascii="仿宋" w:hAnsi="仿宋" w:eastAsia="仿宋" w:cs="仿宋"/>
          <w:kern w:val="0"/>
          <w:szCs w:val="21"/>
        </w:rPr>
      </w:pPr>
    </w:p>
    <w:p w14:paraId="0EC83B0A">
      <w:pPr>
        <w:widowControl/>
        <w:spacing w:after="0" w:line="360" w:lineRule="auto"/>
        <w:ind w:firstLine="420" w:firstLineChars="200"/>
        <w:rPr>
          <w:rFonts w:hint="eastAsia" w:ascii="仿宋" w:hAnsi="仿宋" w:eastAsia="仿宋" w:cs="仿宋"/>
          <w:szCs w:val="21"/>
        </w:rPr>
      </w:pPr>
      <w:r>
        <w:rPr>
          <w:rFonts w:hint="eastAsia" w:ascii="仿宋" w:hAnsi="仿宋" w:eastAsia="仿宋" w:cs="仿宋"/>
          <w:kern w:val="0"/>
          <w:szCs w:val="21"/>
        </w:rPr>
        <w:t xml:space="preserve">企业名称（盖章）： </w:t>
      </w:r>
    </w:p>
    <w:p w14:paraId="328DA16F">
      <w:pPr>
        <w:widowControl/>
        <w:spacing w:after="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 xml:space="preserve">日 期：                          </w:t>
      </w:r>
    </w:p>
    <w:p w14:paraId="7E76FF01">
      <w:pPr>
        <w:widowControl/>
        <w:spacing w:after="0" w:line="360" w:lineRule="auto"/>
        <w:rPr>
          <w:rFonts w:hint="eastAsia" w:ascii="仿宋" w:hAnsi="仿宋" w:eastAsia="仿宋" w:cs="仿宋"/>
          <w:szCs w:val="21"/>
        </w:rPr>
      </w:pPr>
      <w:r>
        <w:rPr>
          <w:rFonts w:hint="eastAsia" w:ascii="仿宋" w:hAnsi="仿宋" w:eastAsia="仿宋" w:cs="仿宋"/>
          <w:b/>
          <w:bCs/>
          <w:kern w:val="0"/>
          <w:szCs w:val="21"/>
        </w:rPr>
        <w:t>备注：投标单位若为非中小企业可忽略此声明函。</w:t>
      </w:r>
    </w:p>
    <w:p w14:paraId="3621C7D8">
      <w:pPr>
        <w:widowControl/>
        <w:spacing w:after="0" w:line="360" w:lineRule="auto"/>
        <w:jc w:val="center"/>
        <w:rPr>
          <w:rFonts w:hint="eastAsia" w:ascii="仿宋" w:hAnsi="仿宋" w:eastAsia="仿宋" w:cs="仿宋"/>
          <w:b/>
          <w:spacing w:val="6"/>
          <w:szCs w:val="21"/>
        </w:rPr>
      </w:pPr>
      <w:r>
        <w:rPr>
          <w:rFonts w:hint="eastAsia" w:ascii="仿宋" w:hAnsi="仿宋" w:eastAsia="仿宋" w:cs="仿宋"/>
          <w:kern w:val="0"/>
          <w:szCs w:val="21"/>
        </w:rPr>
        <w:br w:type="page"/>
      </w:r>
      <w:r>
        <w:rPr>
          <w:rFonts w:hint="eastAsia" w:ascii="仿宋" w:hAnsi="仿宋" w:eastAsia="仿宋" w:cs="仿宋"/>
          <w:b/>
          <w:spacing w:val="6"/>
          <w:sz w:val="24"/>
        </w:rPr>
        <w:t>残疾人福利性单位声明函</w:t>
      </w:r>
    </w:p>
    <w:p w14:paraId="48FC7452">
      <w:pPr>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本单位郑重声明，根据《财政部 民政部 中国残疾人联合会关于促进残疾人就业政府采购政策的通知》（财库</w:t>
      </w:r>
      <w:r>
        <w:rPr>
          <w:rFonts w:hint="eastAsia" w:ascii="仿宋" w:hAnsi="仿宋" w:eastAsia="仿宋" w:cs="仿宋"/>
          <w:szCs w:val="21"/>
        </w:rPr>
        <w:t>〔2017〕 141</w:t>
      </w:r>
      <w:r>
        <w:rPr>
          <w:rFonts w:hint="eastAsia" w:ascii="仿宋" w:hAnsi="仿宋" w:eastAsia="仿宋" w:cs="仿宋"/>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07593D">
      <w:pPr>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本单位对上述声明的真实性负责。如有虚假，将依法承担相应责任。</w:t>
      </w:r>
    </w:p>
    <w:p w14:paraId="6CF73EC4">
      <w:pPr>
        <w:spacing w:after="0"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注：</w:t>
      </w:r>
    </w:p>
    <w:p w14:paraId="642FDB97">
      <w:pPr>
        <w:spacing w:after="0"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1、残疾人福利性单位视同小型、微型企业，享受预留份额、评审中价格扣除等促进中小企业发展的政府采购政策。残疾人福利性单位属于小型、微型企业的，不重复享受政策。</w:t>
      </w:r>
    </w:p>
    <w:p w14:paraId="1B080966">
      <w:pPr>
        <w:spacing w:after="0"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2、投标人为非残疾人福利性单位的，可不提供此声明。</w:t>
      </w:r>
    </w:p>
    <w:p w14:paraId="1E5D43DB">
      <w:pPr>
        <w:spacing w:line="360" w:lineRule="auto"/>
        <w:ind w:firstLine="444" w:firstLineChars="200"/>
        <w:rPr>
          <w:rFonts w:hint="eastAsia" w:ascii="仿宋" w:hAnsi="仿宋" w:eastAsia="仿宋" w:cs="仿宋"/>
          <w:spacing w:val="6"/>
          <w:szCs w:val="21"/>
        </w:rPr>
      </w:pPr>
    </w:p>
    <w:p w14:paraId="7B00EC11">
      <w:pPr>
        <w:tabs>
          <w:tab w:val="left" w:pos="4860"/>
        </w:tabs>
        <w:spacing w:line="360" w:lineRule="auto"/>
        <w:ind w:right="1560" w:firstLine="444" w:firstLineChars="200"/>
        <w:jc w:val="right"/>
        <w:rPr>
          <w:rFonts w:hint="eastAsia" w:ascii="仿宋" w:hAnsi="仿宋" w:eastAsia="仿宋" w:cs="仿宋"/>
          <w:spacing w:val="6"/>
          <w:szCs w:val="21"/>
        </w:rPr>
      </w:pPr>
      <w:r>
        <w:rPr>
          <w:rFonts w:hint="eastAsia" w:ascii="仿宋" w:hAnsi="仿宋" w:eastAsia="仿宋" w:cs="仿宋"/>
          <w:spacing w:val="6"/>
          <w:szCs w:val="21"/>
        </w:rPr>
        <w:t xml:space="preserve">               单位名称（盖章）：</w:t>
      </w:r>
    </w:p>
    <w:p w14:paraId="6D6D3B43">
      <w:pPr>
        <w:tabs>
          <w:tab w:val="left" w:pos="4860"/>
        </w:tabs>
        <w:spacing w:line="360" w:lineRule="auto"/>
        <w:ind w:right="1560" w:firstLine="444" w:firstLineChars="200"/>
        <w:jc w:val="right"/>
        <w:rPr>
          <w:rFonts w:hint="eastAsia" w:ascii="仿宋" w:hAnsi="仿宋" w:eastAsia="仿宋" w:cs="仿宋"/>
          <w:spacing w:val="6"/>
          <w:szCs w:val="21"/>
        </w:rPr>
      </w:pPr>
      <w:r>
        <w:rPr>
          <w:rFonts w:hint="eastAsia" w:ascii="仿宋" w:hAnsi="仿宋" w:eastAsia="仿宋" w:cs="仿宋"/>
          <w:spacing w:val="6"/>
          <w:szCs w:val="21"/>
        </w:rPr>
        <w:t xml:space="preserve">       日  期：</w:t>
      </w:r>
    </w:p>
    <w:p w14:paraId="1287798C">
      <w:pPr>
        <w:rPr>
          <w:rFonts w:hint="eastAsia" w:ascii="仿宋" w:hAnsi="仿宋" w:eastAsia="仿宋" w:cs="仿宋"/>
          <w:b/>
          <w:bCs/>
          <w:kern w:val="0"/>
          <w:sz w:val="11"/>
          <w:szCs w:val="11"/>
        </w:rPr>
      </w:pPr>
    </w:p>
    <w:p w14:paraId="724E9B3D">
      <w:pPr>
        <w:rPr>
          <w:rFonts w:hint="eastAsia" w:ascii="仿宋" w:hAnsi="仿宋" w:eastAsia="仿宋" w:cs="仿宋"/>
          <w:b/>
          <w:bCs/>
          <w:kern w:val="0"/>
          <w:sz w:val="11"/>
          <w:szCs w:val="11"/>
        </w:rPr>
      </w:pPr>
    </w:p>
    <w:p w14:paraId="4CA679E1">
      <w:pPr>
        <w:rPr>
          <w:rFonts w:hint="eastAsia" w:ascii="仿宋" w:hAnsi="仿宋" w:eastAsia="仿宋" w:cs="仿宋"/>
          <w:b/>
          <w:bCs/>
          <w:kern w:val="0"/>
          <w:sz w:val="11"/>
          <w:szCs w:val="11"/>
        </w:rPr>
      </w:pPr>
    </w:p>
    <w:p w14:paraId="299E9D5B">
      <w:pPr>
        <w:rPr>
          <w:rFonts w:hint="eastAsia" w:ascii="仿宋" w:hAnsi="仿宋" w:eastAsia="仿宋" w:cs="仿宋"/>
          <w:b/>
          <w:bCs/>
          <w:kern w:val="0"/>
          <w:sz w:val="11"/>
          <w:szCs w:val="11"/>
        </w:rPr>
      </w:pPr>
    </w:p>
    <w:p w14:paraId="4507861F">
      <w:pPr>
        <w:rPr>
          <w:rFonts w:hint="eastAsia" w:ascii="仿宋" w:hAnsi="仿宋" w:eastAsia="仿宋" w:cs="仿宋"/>
          <w:b/>
          <w:bCs/>
          <w:kern w:val="0"/>
          <w:sz w:val="18"/>
          <w:szCs w:val="18"/>
        </w:rPr>
      </w:pPr>
    </w:p>
    <w:p w14:paraId="4CB139D7">
      <w:pPr>
        <w:jc w:val="center"/>
        <w:rPr>
          <w:rFonts w:hint="eastAsia" w:ascii="仿宋" w:hAnsi="仿宋" w:eastAsia="仿宋" w:cs="仿宋"/>
          <w:b/>
          <w:bCs/>
          <w:kern w:val="0"/>
          <w:szCs w:val="21"/>
        </w:rPr>
      </w:pPr>
      <w:r>
        <w:rPr>
          <w:rFonts w:hint="eastAsia" w:ascii="仿宋" w:hAnsi="仿宋" w:eastAsia="仿宋" w:cs="仿宋"/>
          <w:b/>
          <w:bCs/>
          <w:kern w:val="0"/>
          <w:szCs w:val="21"/>
        </w:rPr>
        <w:t>备注：投标单位若为非残疾人福利性单位可忽略此声明函。</w:t>
      </w:r>
    </w:p>
    <w:p w14:paraId="4604BA22">
      <w:pPr>
        <w:pStyle w:val="5"/>
        <w:rPr>
          <w:rFonts w:hint="eastAsia" w:ascii="仿宋" w:hAnsi="仿宋" w:eastAsia="仿宋" w:cs="仿宋"/>
          <w:b/>
          <w:bCs/>
          <w:kern w:val="0"/>
          <w:szCs w:val="21"/>
        </w:rPr>
      </w:pPr>
    </w:p>
    <w:p w14:paraId="3E6579B3">
      <w:pPr>
        <w:rPr>
          <w:rFonts w:hint="eastAsia" w:ascii="仿宋" w:hAnsi="仿宋" w:eastAsia="仿宋" w:cs="仿宋"/>
        </w:rPr>
        <w:sectPr>
          <w:pgSz w:w="11906" w:h="16838"/>
          <w:pgMar w:top="1797" w:right="1797" w:bottom="1797" w:left="1797" w:header="851" w:footer="992" w:gutter="0"/>
          <w:cols w:space="720" w:num="1"/>
          <w:docGrid w:type="linesAndChars" w:linePitch="312" w:charSpace="0"/>
        </w:sectPr>
      </w:pPr>
    </w:p>
    <w:p w14:paraId="55FAAF94">
      <w:pPr>
        <w:pStyle w:val="14"/>
        <w:numPr>
          <w:ilvl w:val="1"/>
          <w:numId w:val="0"/>
        </w:numPr>
        <w:tabs>
          <w:tab w:val="left" w:pos="588"/>
        </w:tabs>
        <w:snapToGrid w:val="0"/>
        <w:spacing w:before="120" w:after="120" w:line="400" w:lineRule="exact"/>
        <w:jc w:val="left"/>
        <w:outlineLvl w:val="2"/>
        <w:rPr>
          <w:rFonts w:hint="eastAsia" w:ascii="仿宋" w:hAnsi="仿宋" w:eastAsia="仿宋" w:cs="仿宋"/>
        </w:rPr>
      </w:pPr>
      <w:bookmarkStart w:id="725" w:name="_Toc21312"/>
      <w:bookmarkStart w:id="726" w:name="_Toc12105"/>
      <w:bookmarkStart w:id="727" w:name="_Toc30333"/>
      <w:r>
        <w:rPr>
          <w:rFonts w:hint="eastAsia" w:ascii="仿宋" w:hAnsi="仿宋" w:eastAsia="仿宋" w:cs="仿宋"/>
          <w:sz w:val="24"/>
          <w:szCs w:val="21"/>
        </w:rPr>
        <w:t>5.其他资料</w:t>
      </w:r>
      <w:bookmarkEnd w:id="725"/>
      <w:bookmarkEnd w:id="726"/>
      <w:bookmarkEnd w:id="727"/>
    </w:p>
    <w:p w14:paraId="0D2E9BA8">
      <w:pPr>
        <w:spacing w:line="400" w:lineRule="exact"/>
        <w:ind w:firstLine="420" w:firstLineChars="200"/>
        <w:rPr>
          <w:rFonts w:hint="eastAsia" w:ascii="仿宋" w:hAnsi="仿宋" w:eastAsia="仿宋" w:cs="仿宋"/>
          <w:szCs w:val="21"/>
        </w:rPr>
      </w:pPr>
      <w:r>
        <w:rPr>
          <w:rFonts w:hint="eastAsia" w:ascii="仿宋" w:hAnsi="仿宋" w:eastAsia="仿宋" w:cs="仿宋"/>
          <w:szCs w:val="21"/>
        </w:rPr>
        <w:t>投标人认为需要说明的或其他与项目有关的资料（自附）：应不低于招标文件初步评审标准和详细评审细则的内容。</w:t>
      </w:r>
      <w:r>
        <w:rPr>
          <w:rFonts w:hint="eastAsia" w:ascii="仿宋" w:hAnsi="仿宋" w:eastAsia="仿宋" w:cs="仿宋"/>
          <w:b/>
          <w:bCs/>
          <w:szCs w:val="21"/>
        </w:rPr>
        <w:t>（若投标人认为无其他说明或其他相关资料可忽略此内容）</w:t>
      </w:r>
    </w:p>
    <w:p w14:paraId="50163C2B">
      <w:pPr>
        <w:rPr>
          <w:rFonts w:hint="eastAsia" w:ascii="仿宋" w:hAnsi="仿宋" w:eastAsia="仿宋" w:cs="仿宋"/>
          <w:kern w:val="0"/>
          <w:szCs w:val="21"/>
        </w:rPr>
      </w:pPr>
      <w:r>
        <w:rPr>
          <w:rFonts w:hint="eastAsia" w:ascii="仿宋" w:hAnsi="仿宋" w:eastAsia="仿宋" w:cs="仿宋"/>
          <w:kern w:val="0"/>
          <w:szCs w:val="21"/>
        </w:rPr>
        <w:t>（格式自拟）</w:t>
      </w:r>
    </w:p>
    <w:p w14:paraId="000F2A0C">
      <w:pPr>
        <w:pStyle w:val="4"/>
        <w:spacing w:line="400" w:lineRule="exact"/>
        <w:rPr>
          <w:rFonts w:hint="eastAsia" w:ascii="仿宋" w:hAnsi="仿宋" w:eastAsia="仿宋" w:cs="仿宋"/>
        </w:rPr>
      </w:pPr>
    </w:p>
    <w:p w14:paraId="60CCBB77">
      <w:pPr>
        <w:spacing w:line="400" w:lineRule="exact"/>
        <w:rPr>
          <w:rFonts w:hint="eastAsia" w:ascii="仿宋" w:hAnsi="仿宋" w:eastAsia="仿宋" w:cs="仿宋"/>
          <w:sz w:val="24"/>
        </w:rPr>
      </w:pPr>
    </w:p>
    <w:p w14:paraId="2940AB69">
      <w:pPr>
        <w:adjustRightInd w:val="0"/>
        <w:snapToGrid w:val="0"/>
        <w:spacing w:after="120" w:line="400" w:lineRule="exact"/>
        <w:rPr>
          <w:rFonts w:hint="eastAsia" w:ascii="仿宋" w:hAnsi="仿宋" w:eastAsia="仿宋" w:cs="仿宋"/>
          <w:szCs w:val="21"/>
        </w:rPr>
      </w:pPr>
    </w:p>
    <w:p w14:paraId="30FCA0D4">
      <w:pPr>
        <w:pStyle w:val="4"/>
        <w:rPr>
          <w:rFonts w:hint="eastAsia" w:ascii="仿宋" w:hAnsi="仿宋" w:eastAsia="仿宋" w:cs="仿宋"/>
          <w:szCs w:val="21"/>
        </w:rPr>
      </w:pPr>
    </w:p>
    <w:p w14:paraId="66B2BC01">
      <w:pPr>
        <w:rPr>
          <w:rFonts w:hint="eastAsia" w:ascii="仿宋" w:hAnsi="仿宋" w:eastAsia="仿宋" w:cs="仿宋"/>
          <w:szCs w:val="21"/>
        </w:rPr>
      </w:pPr>
    </w:p>
    <w:p w14:paraId="71E36E24">
      <w:pPr>
        <w:pStyle w:val="4"/>
        <w:rPr>
          <w:rFonts w:hint="eastAsia" w:ascii="仿宋" w:hAnsi="仿宋" w:eastAsia="仿宋" w:cs="仿宋"/>
          <w:szCs w:val="21"/>
        </w:rPr>
      </w:pPr>
    </w:p>
    <w:p w14:paraId="3D055DFA">
      <w:pPr>
        <w:pStyle w:val="14"/>
        <w:numPr>
          <w:ilvl w:val="1"/>
          <w:numId w:val="0"/>
        </w:numPr>
        <w:tabs>
          <w:tab w:val="left" w:pos="602"/>
        </w:tabs>
        <w:snapToGrid w:val="0"/>
        <w:spacing w:before="0" w:after="0" w:line="400" w:lineRule="exact"/>
        <w:jc w:val="left"/>
        <w:outlineLvl w:val="1"/>
        <w:rPr>
          <w:rFonts w:hint="eastAsia" w:ascii="仿宋" w:hAnsi="仿宋" w:eastAsia="仿宋" w:cs="仿宋"/>
          <w:sz w:val="24"/>
          <w:szCs w:val="21"/>
        </w:rPr>
      </w:pPr>
      <w:r>
        <w:rPr>
          <w:rFonts w:hint="eastAsia" w:ascii="仿宋" w:hAnsi="仿宋" w:eastAsia="仿宋" w:cs="仿宋"/>
          <w:kern w:val="0"/>
          <w:sz w:val="24"/>
          <w:szCs w:val="24"/>
          <w:lang w:bidi="ar"/>
        </w:rPr>
        <w:br w:type="page"/>
      </w:r>
      <w:bookmarkStart w:id="728" w:name="_Toc17398"/>
      <w:bookmarkStart w:id="729" w:name="_Toc12515"/>
      <w:r>
        <w:rPr>
          <w:rFonts w:hint="eastAsia" w:ascii="仿宋" w:hAnsi="仿宋" w:eastAsia="仿宋" w:cs="仿宋"/>
          <w:sz w:val="24"/>
          <w:szCs w:val="21"/>
        </w:rPr>
        <w:t>（三）技术部分</w:t>
      </w:r>
      <w:bookmarkEnd w:id="728"/>
      <w:bookmarkEnd w:id="729"/>
    </w:p>
    <w:p w14:paraId="11F32640">
      <w:pPr>
        <w:pStyle w:val="14"/>
        <w:numPr>
          <w:ilvl w:val="1"/>
          <w:numId w:val="0"/>
        </w:numPr>
        <w:tabs>
          <w:tab w:val="left" w:pos="602"/>
        </w:tabs>
        <w:snapToGrid w:val="0"/>
        <w:spacing w:before="0" w:after="0" w:line="400" w:lineRule="exact"/>
        <w:jc w:val="left"/>
        <w:outlineLvl w:val="2"/>
        <w:rPr>
          <w:rFonts w:hint="eastAsia" w:ascii="仿宋" w:hAnsi="仿宋" w:eastAsia="仿宋" w:cs="仿宋"/>
          <w:sz w:val="24"/>
          <w:szCs w:val="21"/>
        </w:rPr>
      </w:pPr>
      <w:bookmarkStart w:id="730" w:name="_Toc13233"/>
      <w:bookmarkStart w:id="731" w:name="_Toc458"/>
      <w:r>
        <w:rPr>
          <w:rFonts w:hint="eastAsia" w:ascii="仿宋" w:hAnsi="仿宋" w:eastAsia="仿宋" w:cs="仿宋"/>
          <w:sz w:val="24"/>
          <w:szCs w:val="21"/>
        </w:rPr>
        <w:t>1.技术条款偏离表</w:t>
      </w:r>
      <w:bookmarkEnd w:id="730"/>
      <w:bookmarkEnd w:id="731"/>
    </w:p>
    <w:p w14:paraId="380F2457">
      <w:pPr>
        <w:spacing w:after="0" w:line="400" w:lineRule="exact"/>
        <w:rPr>
          <w:rFonts w:hint="eastAsia" w:ascii="仿宋" w:hAnsi="仿宋" w:eastAsia="仿宋" w:cs="仿宋"/>
          <w:sz w:val="24"/>
          <w:szCs w:val="22"/>
        </w:rPr>
      </w:pPr>
    </w:p>
    <w:p w14:paraId="37F1F533">
      <w:pPr>
        <w:spacing w:after="0" w:line="400" w:lineRule="exact"/>
        <w:rPr>
          <w:rFonts w:hint="eastAsia" w:ascii="仿宋" w:hAnsi="仿宋" w:eastAsia="仿宋" w:cs="仿宋"/>
          <w:szCs w:val="21"/>
        </w:rPr>
      </w:pPr>
      <w:r>
        <w:rPr>
          <w:rFonts w:hint="eastAsia" w:ascii="仿宋" w:hAnsi="仿宋" w:eastAsia="仿宋" w:cs="仿宋"/>
          <w:sz w:val="24"/>
          <w:szCs w:val="22"/>
        </w:rPr>
        <w:t>项</w:t>
      </w:r>
      <w:r>
        <w:rPr>
          <w:rFonts w:hint="eastAsia" w:ascii="仿宋" w:hAnsi="仿宋" w:eastAsia="仿宋" w:cs="仿宋"/>
          <w:szCs w:val="21"/>
        </w:rPr>
        <w:t>目名称：                                     项目编号：</w:t>
      </w:r>
    </w:p>
    <w:p w14:paraId="585865F7">
      <w:pPr>
        <w:spacing w:after="0" w:line="400" w:lineRule="exact"/>
        <w:rPr>
          <w:rFonts w:hint="eastAsia" w:ascii="仿宋" w:hAnsi="仿宋" w:eastAsia="仿宋" w:cs="仿宋"/>
          <w:szCs w:val="21"/>
        </w:rPr>
      </w:pPr>
    </w:p>
    <w:p w14:paraId="524C96A9">
      <w:pPr>
        <w:spacing w:after="0" w:line="400" w:lineRule="exact"/>
        <w:rPr>
          <w:rFonts w:hint="eastAsia" w:ascii="仿宋" w:hAnsi="仿宋" w:eastAsia="仿宋" w:cs="仿宋"/>
          <w:szCs w:val="21"/>
        </w:rPr>
      </w:pPr>
      <w:r>
        <w:rPr>
          <w:rFonts w:hint="eastAsia" w:ascii="仿宋" w:hAnsi="仿宋" w:eastAsia="仿宋" w:cs="仿宋"/>
          <w:szCs w:val="21"/>
        </w:rPr>
        <w:t xml:space="preserve">投标单位名称：                                 </w:t>
      </w:r>
    </w:p>
    <w:p w14:paraId="5F3CBABE">
      <w:pPr>
        <w:spacing w:after="0" w:line="400" w:lineRule="exact"/>
        <w:rPr>
          <w:rFonts w:hint="eastAsia" w:ascii="仿宋" w:hAnsi="仿宋" w:eastAsia="仿宋" w:cs="仿宋"/>
          <w:szCs w:val="21"/>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642"/>
        <w:gridCol w:w="2000"/>
        <w:gridCol w:w="2001"/>
        <w:gridCol w:w="2394"/>
      </w:tblGrid>
      <w:tr w14:paraId="7E1A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4" w:type="dxa"/>
            <w:tcBorders>
              <w:top w:val="single" w:color="auto" w:sz="4" w:space="0"/>
              <w:left w:val="single" w:color="auto" w:sz="4" w:space="0"/>
              <w:bottom w:val="single" w:color="auto" w:sz="4" w:space="0"/>
              <w:right w:val="single" w:color="auto" w:sz="4" w:space="0"/>
            </w:tcBorders>
            <w:vAlign w:val="center"/>
          </w:tcPr>
          <w:p w14:paraId="37D4F3B3">
            <w:pPr>
              <w:spacing w:after="0" w:line="400" w:lineRule="exact"/>
              <w:jc w:val="center"/>
              <w:rPr>
                <w:rFonts w:hint="eastAsia" w:ascii="仿宋" w:hAnsi="仿宋" w:eastAsia="仿宋" w:cs="仿宋"/>
                <w:szCs w:val="21"/>
                <w:lang w:val="zh-CN"/>
              </w:rPr>
            </w:pPr>
            <w:r>
              <w:rPr>
                <w:rFonts w:hint="eastAsia" w:ascii="仿宋" w:hAnsi="仿宋" w:eastAsia="仿宋" w:cs="仿宋"/>
                <w:szCs w:val="21"/>
                <w:lang w:val="zh-CN"/>
              </w:rPr>
              <w:t>序号</w:t>
            </w:r>
          </w:p>
        </w:tc>
        <w:tc>
          <w:tcPr>
            <w:tcW w:w="1642" w:type="dxa"/>
            <w:tcBorders>
              <w:top w:val="single" w:color="auto" w:sz="4" w:space="0"/>
              <w:left w:val="single" w:color="auto" w:sz="4" w:space="0"/>
              <w:bottom w:val="single" w:color="auto" w:sz="4" w:space="0"/>
              <w:right w:val="single" w:color="auto" w:sz="4" w:space="0"/>
            </w:tcBorders>
            <w:vAlign w:val="center"/>
          </w:tcPr>
          <w:p w14:paraId="7F95EA59">
            <w:pPr>
              <w:spacing w:after="0" w:line="400" w:lineRule="exact"/>
              <w:jc w:val="center"/>
              <w:rPr>
                <w:rFonts w:hint="eastAsia" w:ascii="仿宋" w:hAnsi="仿宋" w:eastAsia="仿宋" w:cs="仿宋"/>
                <w:szCs w:val="21"/>
                <w:lang w:val="zh-CN"/>
              </w:rPr>
            </w:pPr>
            <w:r>
              <w:rPr>
                <w:rFonts w:hint="eastAsia" w:ascii="仿宋" w:hAnsi="仿宋" w:eastAsia="仿宋" w:cs="仿宋"/>
                <w:szCs w:val="21"/>
                <w:lang w:val="zh-CN"/>
              </w:rPr>
              <w:t>招标文件条目号</w:t>
            </w:r>
          </w:p>
        </w:tc>
        <w:tc>
          <w:tcPr>
            <w:tcW w:w="2000" w:type="dxa"/>
            <w:tcBorders>
              <w:top w:val="single" w:color="auto" w:sz="4" w:space="0"/>
              <w:left w:val="single" w:color="auto" w:sz="4" w:space="0"/>
              <w:bottom w:val="single" w:color="auto" w:sz="4" w:space="0"/>
              <w:right w:val="single" w:color="auto" w:sz="4" w:space="0"/>
            </w:tcBorders>
            <w:vAlign w:val="center"/>
          </w:tcPr>
          <w:p w14:paraId="354C4DBF">
            <w:pPr>
              <w:spacing w:after="0" w:line="400" w:lineRule="exact"/>
              <w:jc w:val="center"/>
              <w:rPr>
                <w:rFonts w:hint="eastAsia" w:ascii="仿宋" w:hAnsi="仿宋" w:eastAsia="仿宋" w:cs="仿宋"/>
                <w:szCs w:val="21"/>
                <w:lang w:val="zh-CN"/>
              </w:rPr>
            </w:pPr>
            <w:r>
              <w:rPr>
                <w:rFonts w:hint="eastAsia" w:ascii="仿宋" w:hAnsi="仿宋" w:eastAsia="仿宋" w:cs="仿宋"/>
                <w:szCs w:val="21"/>
                <w:lang w:val="zh-CN"/>
              </w:rPr>
              <w:t>招标文件的技术条款</w:t>
            </w:r>
          </w:p>
        </w:tc>
        <w:tc>
          <w:tcPr>
            <w:tcW w:w="2001" w:type="dxa"/>
            <w:tcBorders>
              <w:top w:val="single" w:color="auto" w:sz="4" w:space="0"/>
              <w:left w:val="single" w:color="auto" w:sz="4" w:space="0"/>
              <w:bottom w:val="single" w:color="auto" w:sz="4" w:space="0"/>
              <w:right w:val="single" w:color="auto" w:sz="4" w:space="0"/>
            </w:tcBorders>
            <w:vAlign w:val="center"/>
          </w:tcPr>
          <w:p w14:paraId="4B4F6424">
            <w:pPr>
              <w:spacing w:after="0" w:line="400" w:lineRule="exact"/>
              <w:jc w:val="center"/>
              <w:rPr>
                <w:rFonts w:hint="eastAsia" w:ascii="仿宋" w:hAnsi="仿宋" w:eastAsia="仿宋" w:cs="仿宋"/>
                <w:szCs w:val="21"/>
                <w:lang w:val="zh-CN"/>
              </w:rPr>
            </w:pPr>
            <w:r>
              <w:rPr>
                <w:rFonts w:hint="eastAsia" w:ascii="仿宋" w:hAnsi="仿宋" w:eastAsia="仿宋" w:cs="仿宋"/>
                <w:szCs w:val="21"/>
                <w:lang w:val="zh-CN"/>
              </w:rPr>
              <w:t>投标文件的技术条款</w:t>
            </w:r>
          </w:p>
        </w:tc>
        <w:tc>
          <w:tcPr>
            <w:tcW w:w="2394" w:type="dxa"/>
            <w:tcBorders>
              <w:top w:val="single" w:color="auto" w:sz="4" w:space="0"/>
              <w:left w:val="single" w:color="auto" w:sz="4" w:space="0"/>
              <w:bottom w:val="single" w:color="auto" w:sz="4" w:space="0"/>
              <w:right w:val="single" w:color="auto" w:sz="4" w:space="0"/>
            </w:tcBorders>
            <w:vAlign w:val="center"/>
          </w:tcPr>
          <w:p w14:paraId="3FC1850E">
            <w:pPr>
              <w:spacing w:after="0" w:line="400" w:lineRule="exact"/>
              <w:jc w:val="center"/>
              <w:rPr>
                <w:rFonts w:hint="eastAsia" w:ascii="仿宋" w:hAnsi="仿宋" w:eastAsia="仿宋" w:cs="仿宋"/>
                <w:szCs w:val="21"/>
                <w:lang w:val="zh-CN"/>
              </w:rPr>
            </w:pPr>
            <w:r>
              <w:rPr>
                <w:rFonts w:hint="eastAsia" w:ascii="仿宋" w:hAnsi="仿宋" w:eastAsia="仿宋" w:cs="仿宋"/>
                <w:szCs w:val="21"/>
                <w:lang w:val="zh-CN"/>
              </w:rPr>
              <w:t>偏离及其影响</w:t>
            </w:r>
          </w:p>
        </w:tc>
      </w:tr>
      <w:tr w14:paraId="2B53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4" w:type="dxa"/>
            <w:tcBorders>
              <w:top w:val="single" w:color="auto" w:sz="4" w:space="0"/>
              <w:left w:val="single" w:color="auto" w:sz="4" w:space="0"/>
              <w:bottom w:val="single" w:color="auto" w:sz="4" w:space="0"/>
              <w:right w:val="single" w:color="auto" w:sz="4" w:space="0"/>
            </w:tcBorders>
            <w:vAlign w:val="center"/>
          </w:tcPr>
          <w:p w14:paraId="51BAE09D">
            <w:pPr>
              <w:spacing w:after="0" w:line="400" w:lineRule="exact"/>
              <w:jc w:val="center"/>
              <w:rPr>
                <w:rFonts w:hint="eastAsia" w:ascii="仿宋" w:hAnsi="仿宋" w:eastAsia="仿宋" w:cs="仿宋"/>
                <w:szCs w:val="21"/>
                <w:lang w:val="zh-CN"/>
              </w:rPr>
            </w:pPr>
          </w:p>
        </w:tc>
        <w:tc>
          <w:tcPr>
            <w:tcW w:w="1642" w:type="dxa"/>
            <w:tcBorders>
              <w:top w:val="single" w:color="auto" w:sz="4" w:space="0"/>
              <w:left w:val="single" w:color="auto" w:sz="4" w:space="0"/>
              <w:bottom w:val="single" w:color="auto" w:sz="4" w:space="0"/>
              <w:right w:val="single" w:color="auto" w:sz="4" w:space="0"/>
            </w:tcBorders>
          </w:tcPr>
          <w:p w14:paraId="0947BCAF">
            <w:pPr>
              <w:spacing w:after="0" w:line="400" w:lineRule="exact"/>
              <w:rPr>
                <w:rFonts w:hint="eastAsia" w:ascii="仿宋" w:hAnsi="仿宋" w:eastAsia="仿宋" w:cs="仿宋"/>
                <w:szCs w:val="21"/>
                <w:lang w:val="zh-CN"/>
              </w:rPr>
            </w:pPr>
          </w:p>
        </w:tc>
        <w:tc>
          <w:tcPr>
            <w:tcW w:w="2000" w:type="dxa"/>
            <w:tcBorders>
              <w:top w:val="single" w:color="auto" w:sz="4" w:space="0"/>
              <w:left w:val="single" w:color="auto" w:sz="4" w:space="0"/>
              <w:bottom w:val="single" w:color="auto" w:sz="4" w:space="0"/>
              <w:right w:val="single" w:color="auto" w:sz="4" w:space="0"/>
            </w:tcBorders>
          </w:tcPr>
          <w:p w14:paraId="201E2A4B">
            <w:pPr>
              <w:spacing w:after="0" w:line="400" w:lineRule="exact"/>
              <w:rPr>
                <w:rFonts w:hint="eastAsia" w:ascii="仿宋" w:hAnsi="仿宋" w:eastAsia="仿宋" w:cs="仿宋"/>
                <w:szCs w:val="21"/>
                <w:lang w:val="zh-CN"/>
              </w:rPr>
            </w:pPr>
          </w:p>
        </w:tc>
        <w:tc>
          <w:tcPr>
            <w:tcW w:w="2001" w:type="dxa"/>
            <w:tcBorders>
              <w:top w:val="single" w:color="auto" w:sz="4" w:space="0"/>
              <w:left w:val="single" w:color="auto" w:sz="4" w:space="0"/>
              <w:bottom w:val="single" w:color="auto" w:sz="4" w:space="0"/>
              <w:right w:val="single" w:color="auto" w:sz="4" w:space="0"/>
            </w:tcBorders>
          </w:tcPr>
          <w:p w14:paraId="404932DF">
            <w:pPr>
              <w:spacing w:after="0" w:line="400" w:lineRule="exact"/>
              <w:rPr>
                <w:rFonts w:hint="eastAsia" w:ascii="仿宋" w:hAnsi="仿宋" w:eastAsia="仿宋" w:cs="仿宋"/>
                <w:szCs w:val="21"/>
                <w:lang w:val="zh-CN"/>
              </w:rPr>
            </w:pPr>
          </w:p>
        </w:tc>
        <w:tc>
          <w:tcPr>
            <w:tcW w:w="2394" w:type="dxa"/>
            <w:tcBorders>
              <w:top w:val="single" w:color="auto" w:sz="4" w:space="0"/>
              <w:left w:val="single" w:color="auto" w:sz="4" w:space="0"/>
              <w:bottom w:val="single" w:color="auto" w:sz="4" w:space="0"/>
              <w:right w:val="single" w:color="auto" w:sz="4" w:space="0"/>
            </w:tcBorders>
          </w:tcPr>
          <w:p w14:paraId="5331749F">
            <w:pPr>
              <w:spacing w:after="0" w:line="400" w:lineRule="exact"/>
              <w:rPr>
                <w:rFonts w:hint="eastAsia" w:ascii="仿宋" w:hAnsi="仿宋" w:eastAsia="仿宋" w:cs="仿宋"/>
                <w:szCs w:val="21"/>
                <w:lang w:val="zh-CN"/>
              </w:rPr>
            </w:pPr>
          </w:p>
        </w:tc>
      </w:tr>
      <w:tr w14:paraId="58EA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4" w:type="dxa"/>
            <w:tcBorders>
              <w:top w:val="single" w:color="auto" w:sz="4" w:space="0"/>
              <w:left w:val="single" w:color="auto" w:sz="4" w:space="0"/>
              <w:bottom w:val="single" w:color="auto" w:sz="4" w:space="0"/>
              <w:right w:val="single" w:color="auto" w:sz="4" w:space="0"/>
            </w:tcBorders>
          </w:tcPr>
          <w:p w14:paraId="484F619E">
            <w:pPr>
              <w:spacing w:after="0" w:line="400" w:lineRule="exact"/>
              <w:rPr>
                <w:rFonts w:hint="eastAsia" w:ascii="仿宋" w:hAnsi="仿宋" w:eastAsia="仿宋" w:cs="仿宋"/>
                <w:szCs w:val="21"/>
                <w:lang w:val="zh-CN"/>
              </w:rPr>
            </w:pPr>
          </w:p>
        </w:tc>
        <w:tc>
          <w:tcPr>
            <w:tcW w:w="1642" w:type="dxa"/>
            <w:tcBorders>
              <w:top w:val="single" w:color="auto" w:sz="4" w:space="0"/>
              <w:left w:val="single" w:color="auto" w:sz="4" w:space="0"/>
              <w:bottom w:val="single" w:color="auto" w:sz="4" w:space="0"/>
              <w:right w:val="single" w:color="auto" w:sz="4" w:space="0"/>
            </w:tcBorders>
          </w:tcPr>
          <w:p w14:paraId="2860D579">
            <w:pPr>
              <w:spacing w:after="0" w:line="400" w:lineRule="exact"/>
              <w:rPr>
                <w:rFonts w:hint="eastAsia" w:ascii="仿宋" w:hAnsi="仿宋" w:eastAsia="仿宋" w:cs="仿宋"/>
                <w:szCs w:val="21"/>
                <w:lang w:val="zh-CN"/>
              </w:rPr>
            </w:pPr>
          </w:p>
        </w:tc>
        <w:tc>
          <w:tcPr>
            <w:tcW w:w="2000" w:type="dxa"/>
            <w:tcBorders>
              <w:top w:val="single" w:color="auto" w:sz="4" w:space="0"/>
              <w:left w:val="single" w:color="auto" w:sz="4" w:space="0"/>
              <w:bottom w:val="single" w:color="auto" w:sz="4" w:space="0"/>
              <w:right w:val="single" w:color="auto" w:sz="4" w:space="0"/>
            </w:tcBorders>
          </w:tcPr>
          <w:p w14:paraId="25EA4C17">
            <w:pPr>
              <w:spacing w:after="0" w:line="400" w:lineRule="exact"/>
              <w:rPr>
                <w:rFonts w:hint="eastAsia" w:ascii="仿宋" w:hAnsi="仿宋" w:eastAsia="仿宋" w:cs="仿宋"/>
                <w:szCs w:val="21"/>
                <w:lang w:val="zh-CN"/>
              </w:rPr>
            </w:pPr>
          </w:p>
        </w:tc>
        <w:tc>
          <w:tcPr>
            <w:tcW w:w="2001" w:type="dxa"/>
            <w:tcBorders>
              <w:top w:val="single" w:color="auto" w:sz="4" w:space="0"/>
              <w:left w:val="single" w:color="auto" w:sz="4" w:space="0"/>
              <w:bottom w:val="single" w:color="auto" w:sz="4" w:space="0"/>
              <w:right w:val="single" w:color="auto" w:sz="4" w:space="0"/>
            </w:tcBorders>
          </w:tcPr>
          <w:p w14:paraId="2875CC9F">
            <w:pPr>
              <w:spacing w:after="0" w:line="400" w:lineRule="exact"/>
              <w:rPr>
                <w:rFonts w:hint="eastAsia" w:ascii="仿宋" w:hAnsi="仿宋" w:eastAsia="仿宋" w:cs="仿宋"/>
                <w:szCs w:val="21"/>
                <w:lang w:val="zh-CN"/>
              </w:rPr>
            </w:pPr>
          </w:p>
        </w:tc>
        <w:tc>
          <w:tcPr>
            <w:tcW w:w="2394" w:type="dxa"/>
            <w:tcBorders>
              <w:top w:val="single" w:color="auto" w:sz="4" w:space="0"/>
              <w:left w:val="single" w:color="auto" w:sz="4" w:space="0"/>
              <w:bottom w:val="single" w:color="auto" w:sz="4" w:space="0"/>
              <w:right w:val="single" w:color="auto" w:sz="4" w:space="0"/>
            </w:tcBorders>
          </w:tcPr>
          <w:p w14:paraId="4A37C76D">
            <w:pPr>
              <w:spacing w:after="0" w:line="400" w:lineRule="exact"/>
              <w:rPr>
                <w:rFonts w:hint="eastAsia" w:ascii="仿宋" w:hAnsi="仿宋" w:eastAsia="仿宋" w:cs="仿宋"/>
                <w:szCs w:val="21"/>
                <w:lang w:val="zh-CN"/>
              </w:rPr>
            </w:pPr>
          </w:p>
        </w:tc>
      </w:tr>
      <w:tr w14:paraId="1DF3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4" w:type="dxa"/>
            <w:tcBorders>
              <w:top w:val="single" w:color="auto" w:sz="4" w:space="0"/>
              <w:left w:val="single" w:color="auto" w:sz="4" w:space="0"/>
              <w:bottom w:val="single" w:color="auto" w:sz="4" w:space="0"/>
              <w:right w:val="single" w:color="auto" w:sz="4" w:space="0"/>
            </w:tcBorders>
          </w:tcPr>
          <w:p w14:paraId="396489F6">
            <w:pPr>
              <w:spacing w:after="0" w:line="400" w:lineRule="exact"/>
              <w:rPr>
                <w:rFonts w:hint="eastAsia" w:ascii="仿宋" w:hAnsi="仿宋" w:eastAsia="仿宋" w:cs="仿宋"/>
                <w:szCs w:val="21"/>
                <w:lang w:val="zh-CN"/>
              </w:rPr>
            </w:pPr>
          </w:p>
        </w:tc>
        <w:tc>
          <w:tcPr>
            <w:tcW w:w="1642" w:type="dxa"/>
            <w:tcBorders>
              <w:top w:val="single" w:color="auto" w:sz="4" w:space="0"/>
              <w:left w:val="single" w:color="auto" w:sz="4" w:space="0"/>
              <w:bottom w:val="single" w:color="auto" w:sz="4" w:space="0"/>
              <w:right w:val="single" w:color="auto" w:sz="4" w:space="0"/>
            </w:tcBorders>
          </w:tcPr>
          <w:p w14:paraId="610D65BA">
            <w:pPr>
              <w:spacing w:after="0" w:line="400" w:lineRule="exact"/>
              <w:rPr>
                <w:rFonts w:hint="eastAsia" w:ascii="仿宋" w:hAnsi="仿宋" w:eastAsia="仿宋" w:cs="仿宋"/>
                <w:szCs w:val="21"/>
                <w:lang w:val="zh-CN"/>
              </w:rPr>
            </w:pPr>
          </w:p>
        </w:tc>
        <w:tc>
          <w:tcPr>
            <w:tcW w:w="2000" w:type="dxa"/>
            <w:tcBorders>
              <w:top w:val="single" w:color="auto" w:sz="4" w:space="0"/>
              <w:left w:val="single" w:color="auto" w:sz="4" w:space="0"/>
              <w:bottom w:val="single" w:color="auto" w:sz="4" w:space="0"/>
              <w:right w:val="single" w:color="auto" w:sz="4" w:space="0"/>
            </w:tcBorders>
          </w:tcPr>
          <w:p w14:paraId="5A0475B9">
            <w:pPr>
              <w:spacing w:after="0" w:line="400" w:lineRule="exact"/>
              <w:rPr>
                <w:rFonts w:hint="eastAsia" w:ascii="仿宋" w:hAnsi="仿宋" w:eastAsia="仿宋" w:cs="仿宋"/>
                <w:szCs w:val="21"/>
                <w:lang w:val="zh-CN"/>
              </w:rPr>
            </w:pPr>
          </w:p>
        </w:tc>
        <w:tc>
          <w:tcPr>
            <w:tcW w:w="2001" w:type="dxa"/>
            <w:tcBorders>
              <w:top w:val="single" w:color="auto" w:sz="4" w:space="0"/>
              <w:left w:val="single" w:color="auto" w:sz="4" w:space="0"/>
              <w:bottom w:val="single" w:color="auto" w:sz="4" w:space="0"/>
              <w:right w:val="single" w:color="auto" w:sz="4" w:space="0"/>
            </w:tcBorders>
          </w:tcPr>
          <w:p w14:paraId="78251C49">
            <w:pPr>
              <w:spacing w:after="0" w:line="400" w:lineRule="exact"/>
              <w:rPr>
                <w:rFonts w:hint="eastAsia" w:ascii="仿宋" w:hAnsi="仿宋" w:eastAsia="仿宋" w:cs="仿宋"/>
                <w:szCs w:val="21"/>
                <w:lang w:val="zh-CN"/>
              </w:rPr>
            </w:pPr>
          </w:p>
        </w:tc>
        <w:tc>
          <w:tcPr>
            <w:tcW w:w="2394" w:type="dxa"/>
            <w:tcBorders>
              <w:top w:val="single" w:color="auto" w:sz="4" w:space="0"/>
              <w:left w:val="single" w:color="auto" w:sz="4" w:space="0"/>
              <w:bottom w:val="single" w:color="auto" w:sz="4" w:space="0"/>
              <w:right w:val="single" w:color="auto" w:sz="4" w:space="0"/>
            </w:tcBorders>
          </w:tcPr>
          <w:p w14:paraId="42BB13CE">
            <w:pPr>
              <w:spacing w:after="0" w:line="400" w:lineRule="exact"/>
              <w:rPr>
                <w:rFonts w:hint="eastAsia" w:ascii="仿宋" w:hAnsi="仿宋" w:eastAsia="仿宋" w:cs="仿宋"/>
                <w:szCs w:val="21"/>
                <w:lang w:val="zh-CN"/>
              </w:rPr>
            </w:pPr>
          </w:p>
        </w:tc>
      </w:tr>
    </w:tbl>
    <w:p w14:paraId="273E7624">
      <w:pPr>
        <w:spacing w:after="0" w:line="400" w:lineRule="exact"/>
        <w:rPr>
          <w:rFonts w:hint="eastAsia" w:ascii="仿宋" w:hAnsi="仿宋" w:eastAsia="仿宋" w:cs="仿宋"/>
          <w:szCs w:val="21"/>
          <w:lang w:val="zh-CN"/>
        </w:rPr>
      </w:pPr>
      <w:r>
        <w:rPr>
          <w:rFonts w:hint="eastAsia" w:ascii="仿宋" w:hAnsi="仿宋" w:eastAsia="仿宋" w:cs="仿宋"/>
          <w:szCs w:val="21"/>
          <w:lang w:val="zh-CN"/>
        </w:rPr>
        <w:t>备注：</w:t>
      </w:r>
    </w:p>
    <w:p w14:paraId="22470B16">
      <w:pPr>
        <w:spacing w:after="0" w:line="400" w:lineRule="exact"/>
        <w:rPr>
          <w:rFonts w:hint="eastAsia" w:ascii="仿宋" w:hAnsi="仿宋" w:eastAsia="仿宋" w:cs="仿宋"/>
          <w:szCs w:val="21"/>
        </w:rPr>
      </w:pPr>
      <w:r>
        <w:rPr>
          <w:rFonts w:hint="eastAsia" w:ascii="仿宋" w:hAnsi="仿宋" w:eastAsia="仿宋" w:cs="仿宋"/>
          <w:szCs w:val="21"/>
        </w:rPr>
        <w:t>投标人应仔细阅读招标文件第五章“</w:t>
      </w:r>
      <w:r>
        <w:rPr>
          <w:rFonts w:hint="eastAsia" w:ascii="仿宋" w:hAnsi="仿宋" w:eastAsia="仿宋" w:cs="仿宋"/>
          <w:szCs w:val="21"/>
          <w:lang w:val="en-US" w:eastAsia="zh-CN"/>
        </w:rPr>
        <w:t>服务要求</w:t>
      </w:r>
      <w:r>
        <w:rPr>
          <w:rFonts w:hint="eastAsia" w:ascii="仿宋" w:hAnsi="仿宋" w:eastAsia="仿宋" w:cs="仿宋"/>
          <w:szCs w:val="21"/>
        </w:rPr>
        <w:t>”的相关内容，明确作出“正偏离”、“负偏离”、“无偏离”的响应</w:t>
      </w:r>
      <w:r>
        <w:rPr>
          <w:rFonts w:hint="eastAsia" w:ascii="仿宋" w:hAnsi="仿宋" w:eastAsia="仿宋" w:cs="仿宋"/>
          <w:szCs w:val="21"/>
          <w:lang w:val="zh-CN"/>
        </w:rPr>
        <w:t>，按其他方式响应的视为“负偏离”。若为“正偏离”、“负偏离”需针对偏离情况及其影响</w:t>
      </w:r>
      <w:r>
        <w:rPr>
          <w:rFonts w:hint="eastAsia" w:ascii="仿宋" w:hAnsi="仿宋" w:eastAsia="仿宋" w:cs="仿宋"/>
          <w:kern w:val="0"/>
          <w:szCs w:val="21"/>
        </w:rPr>
        <w:t>逐条做出说明</w:t>
      </w:r>
      <w:r>
        <w:rPr>
          <w:rFonts w:hint="eastAsia" w:ascii="仿宋" w:hAnsi="仿宋" w:eastAsia="仿宋" w:cs="仿宋"/>
          <w:szCs w:val="21"/>
        </w:rPr>
        <w:t>。要求“正偏离”不得影响本项目原有功能的实现。</w:t>
      </w:r>
    </w:p>
    <w:p w14:paraId="1A8113D3">
      <w:pPr>
        <w:spacing w:after="0" w:line="400" w:lineRule="exact"/>
        <w:jc w:val="right"/>
        <w:rPr>
          <w:rFonts w:hint="eastAsia" w:ascii="仿宋" w:hAnsi="仿宋" w:eastAsia="仿宋" w:cs="仿宋"/>
          <w:sz w:val="24"/>
        </w:rPr>
      </w:pPr>
    </w:p>
    <w:p w14:paraId="64E24E68">
      <w:pPr>
        <w:spacing w:after="0"/>
        <w:rPr>
          <w:rFonts w:hint="eastAsia" w:ascii="仿宋" w:hAnsi="仿宋" w:eastAsia="仿宋" w:cs="仿宋"/>
        </w:rPr>
      </w:pPr>
    </w:p>
    <w:p w14:paraId="58E6D3EE">
      <w:pPr>
        <w:widowControl/>
        <w:spacing w:after="0" w:line="360" w:lineRule="auto"/>
        <w:ind w:firstLine="420"/>
        <w:jc w:val="right"/>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（盖单位公章）</w:t>
      </w:r>
    </w:p>
    <w:p w14:paraId="2A5D3DBC">
      <w:pPr>
        <w:widowControl/>
        <w:spacing w:after="0" w:line="360" w:lineRule="auto"/>
        <w:ind w:firstLine="420"/>
        <w:jc w:val="right"/>
        <w:rPr>
          <w:rFonts w:hint="eastAsia" w:ascii="仿宋" w:hAnsi="仿宋" w:eastAsia="仿宋" w:cs="仿宋"/>
          <w:szCs w:val="21"/>
        </w:rPr>
      </w:pPr>
      <w:r>
        <w:rPr>
          <w:rFonts w:hint="eastAsia" w:ascii="仿宋" w:hAnsi="仿宋" w:eastAsia="仿宋" w:cs="仿宋"/>
          <w:szCs w:val="21"/>
        </w:rPr>
        <w:t>法定代表人或者其委托代理人：</w:t>
      </w:r>
      <w:r>
        <w:rPr>
          <w:rFonts w:hint="eastAsia" w:ascii="仿宋" w:hAnsi="仿宋" w:eastAsia="仿宋" w:cs="仿宋"/>
          <w:szCs w:val="21"/>
          <w:u w:val="single"/>
        </w:rPr>
        <w:t xml:space="preserve">               </w:t>
      </w:r>
      <w:r>
        <w:rPr>
          <w:rFonts w:hint="eastAsia" w:ascii="仿宋" w:hAnsi="仿宋" w:eastAsia="仿宋" w:cs="仿宋"/>
          <w:szCs w:val="21"/>
        </w:rPr>
        <w:t>（签字）</w:t>
      </w:r>
    </w:p>
    <w:p w14:paraId="56161AD4">
      <w:pPr>
        <w:pStyle w:val="27"/>
        <w:spacing w:after="0" w:line="400" w:lineRule="exact"/>
        <w:ind w:firstLine="560"/>
        <w:jc w:val="right"/>
        <w:rPr>
          <w:rFonts w:hint="eastAsia" w:ascii="仿宋" w:hAnsi="仿宋" w:eastAsia="仿宋" w:cs="仿宋"/>
          <w:sz w:val="21"/>
          <w:szCs w:val="21"/>
        </w:rPr>
      </w:pPr>
      <w:r>
        <w:rPr>
          <w:rFonts w:hint="eastAsia" w:ascii="仿宋" w:hAnsi="仿宋" w:eastAsia="仿宋" w:cs="仿宋"/>
          <w:sz w:val="21"/>
          <w:szCs w:val="21"/>
        </w:rPr>
        <w:t>________年_________月________日</w:t>
      </w:r>
    </w:p>
    <w:p w14:paraId="29102670">
      <w:pPr>
        <w:pStyle w:val="14"/>
        <w:numPr>
          <w:ilvl w:val="1"/>
          <w:numId w:val="0"/>
        </w:numPr>
        <w:tabs>
          <w:tab w:val="left" w:pos="588"/>
        </w:tabs>
        <w:snapToGrid w:val="0"/>
        <w:spacing w:before="0" w:after="0" w:line="400" w:lineRule="exact"/>
        <w:jc w:val="left"/>
        <w:outlineLvl w:val="2"/>
        <w:rPr>
          <w:rFonts w:hint="eastAsia" w:ascii="仿宋" w:hAnsi="仿宋" w:eastAsia="仿宋" w:cs="仿宋"/>
        </w:rPr>
      </w:pPr>
      <w:r>
        <w:rPr>
          <w:rFonts w:hint="eastAsia" w:ascii="仿宋" w:hAnsi="仿宋" w:eastAsia="仿宋" w:cs="仿宋"/>
          <w:sz w:val="24"/>
          <w:szCs w:val="21"/>
        </w:rPr>
        <w:br w:type="page"/>
      </w:r>
      <w:bookmarkStart w:id="732" w:name="_Toc9873"/>
      <w:bookmarkStart w:id="733" w:name="_Toc11004"/>
      <w:r>
        <w:rPr>
          <w:rFonts w:hint="eastAsia" w:ascii="仿宋" w:hAnsi="仿宋" w:eastAsia="仿宋" w:cs="仿宋"/>
          <w:sz w:val="24"/>
          <w:szCs w:val="21"/>
        </w:rPr>
        <w:t>2.评分标准要求递交的证明文件</w:t>
      </w:r>
      <w:bookmarkEnd w:id="732"/>
      <w:bookmarkEnd w:id="733"/>
    </w:p>
    <w:p w14:paraId="6B9F4DFB">
      <w:pPr>
        <w:pStyle w:val="14"/>
        <w:numPr>
          <w:ilvl w:val="1"/>
          <w:numId w:val="0"/>
        </w:numPr>
        <w:tabs>
          <w:tab w:val="left" w:pos="588"/>
        </w:tabs>
        <w:snapToGrid w:val="0"/>
        <w:spacing w:before="0" w:after="0" w:line="400" w:lineRule="exact"/>
        <w:jc w:val="left"/>
        <w:outlineLvl w:val="9"/>
        <w:rPr>
          <w:rFonts w:hint="eastAsia" w:ascii="仿宋" w:hAnsi="仿宋" w:eastAsia="仿宋" w:cs="仿宋"/>
          <w:sz w:val="24"/>
          <w:szCs w:val="21"/>
        </w:rPr>
      </w:pPr>
    </w:p>
    <w:p w14:paraId="597F9855">
      <w:pPr>
        <w:rPr>
          <w:rFonts w:hint="eastAsia" w:ascii="仿宋" w:hAnsi="仿宋" w:eastAsia="仿宋" w:cs="仿宋"/>
          <w:sz w:val="24"/>
          <w:szCs w:val="21"/>
        </w:rPr>
      </w:pPr>
    </w:p>
    <w:p w14:paraId="0F03E25A">
      <w:pPr>
        <w:pStyle w:val="8"/>
        <w:numPr>
          <w:ilvl w:val="2"/>
          <w:numId w:val="0"/>
        </w:numPr>
        <w:rPr>
          <w:rFonts w:hint="eastAsia" w:ascii="仿宋" w:hAnsi="仿宋" w:eastAsia="仿宋" w:cs="仿宋"/>
        </w:rPr>
      </w:pPr>
    </w:p>
    <w:p w14:paraId="230F58A2">
      <w:pPr>
        <w:pStyle w:val="14"/>
        <w:numPr>
          <w:ilvl w:val="1"/>
          <w:numId w:val="0"/>
        </w:numPr>
        <w:tabs>
          <w:tab w:val="left" w:pos="588"/>
        </w:tabs>
        <w:snapToGrid w:val="0"/>
        <w:spacing w:before="0" w:after="0" w:line="400" w:lineRule="exact"/>
        <w:jc w:val="left"/>
        <w:outlineLvl w:val="2"/>
        <w:rPr>
          <w:rFonts w:hint="eastAsia" w:ascii="仿宋" w:hAnsi="仿宋" w:eastAsia="仿宋" w:cs="仿宋"/>
          <w:sz w:val="24"/>
          <w:szCs w:val="21"/>
        </w:rPr>
      </w:pPr>
      <w:bookmarkStart w:id="734" w:name="_Toc17624"/>
      <w:bookmarkStart w:id="735" w:name="_Toc13041"/>
      <w:r>
        <w:rPr>
          <w:rFonts w:hint="eastAsia" w:ascii="仿宋" w:hAnsi="仿宋" w:eastAsia="仿宋" w:cs="仿宋"/>
          <w:sz w:val="24"/>
          <w:szCs w:val="21"/>
        </w:rPr>
        <w:t>3.其他资料</w:t>
      </w:r>
      <w:bookmarkEnd w:id="734"/>
      <w:bookmarkEnd w:id="735"/>
    </w:p>
    <w:p w14:paraId="1EC812B3">
      <w:pPr>
        <w:pStyle w:val="14"/>
        <w:numPr>
          <w:ilvl w:val="1"/>
          <w:numId w:val="0"/>
        </w:numPr>
        <w:tabs>
          <w:tab w:val="left" w:pos="588"/>
        </w:tabs>
        <w:snapToGrid w:val="0"/>
        <w:spacing w:before="0" w:after="0" w:line="360" w:lineRule="auto"/>
        <w:ind w:firstLine="640" w:firstLineChars="200"/>
        <w:jc w:val="left"/>
        <w:outlineLvl w:val="9"/>
        <w:rPr>
          <w:rFonts w:hint="eastAsia" w:ascii="仿宋" w:hAnsi="仿宋" w:eastAsia="仿宋" w:cs="仿宋"/>
        </w:rPr>
      </w:pPr>
    </w:p>
    <w:p w14:paraId="389DC0BC"/>
    <w:sectPr>
      <w:pgSz w:w="11906" w:h="16838"/>
      <w:pgMar w:top="1797" w:right="1797" w:bottom="1797" w:left="1797" w:header="851" w:footer="992" w:gutter="0"/>
      <w:cols w:space="720"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3BBB6">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9D284">
    <w:pPr>
      <w:pStyle w:val="9"/>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8100" cy="243205"/>
              <wp:effectExtent l="0" t="0" r="0" b="0"/>
              <wp:wrapNone/>
              <wp:docPr id="263312365" name="文本框 38"/>
              <wp:cNvGraphicFramePr/>
              <a:graphic xmlns:a="http://schemas.openxmlformats.org/drawingml/2006/main">
                <a:graphicData uri="http://schemas.microsoft.com/office/word/2010/wordprocessingShape">
                  <wps:wsp>
                    <wps:cNvSpPr txBox="1">
                      <a:spLocks noChangeArrowheads="1"/>
                    </wps:cNvSpPr>
                    <wps:spPr bwMode="auto">
                      <a:xfrm>
                        <a:off x="0" y="0"/>
                        <a:ext cx="38100" cy="243205"/>
                      </a:xfrm>
                      <a:prstGeom prst="rect">
                        <a:avLst/>
                      </a:prstGeom>
                      <a:noFill/>
                      <a:ln>
                        <a:noFill/>
                      </a:ln>
                    </wps:spPr>
                    <wps:txbx>
                      <w:txbxContent>
                        <w:p w14:paraId="62412BB0">
                          <w:pPr>
                            <w:pStyle w:val="9"/>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38" o:spid="_x0000_s1026" o:spt="202" type="#_x0000_t202" style="position:absolute;left:0pt;margin-top:0pt;height:19.15pt;width:3pt;mso-position-horizontal:center;mso-position-horizontal-relative:margin;mso-wrap-style:none;z-index:251664384;mso-width-relative:page;mso-height-relative:page;" filled="f" stroked="f" coordsize="21600,21600" o:gfxdata="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7057I0AAAAAIBAAAPAAAAAAAAAAEAIAAAACIA&#10;AABkcnMvZG93bnJldi54bWxQSwECFAAUAAAACACHTuJAO+tjiRECAAAKBAAADgAAAAAAAAABACAA&#10;AAAfAQAAZHJzL2Uyb0RvYy54bWxQSwUGAAAAAAYABgBZAQAAogUAAAAA&#10;">
              <v:fill on="f" focussize="0,0"/>
              <v:stroke on="f"/>
              <v:imagedata o:title=""/>
              <o:lock v:ext="edit" aspectratio="f"/>
              <v:textbox inset="0mm,0mm,0mm,0mm" style="mso-fit-shape-to-text:t;">
                <w:txbxContent>
                  <w:p w14:paraId="62412BB0">
                    <w:pPr>
                      <w:pStyle w:val="9"/>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A6171">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243205"/>
              <wp:effectExtent l="0" t="0" r="0" b="0"/>
              <wp:wrapNone/>
              <wp:docPr id="710020842"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57785" cy="243205"/>
                      </a:xfrm>
                      <a:prstGeom prst="rect">
                        <a:avLst/>
                      </a:prstGeom>
                      <a:noFill/>
                      <a:ln>
                        <a:noFill/>
                      </a:ln>
                      <a:effectLst/>
                    </wps:spPr>
                    <wps:txbx>
                      <w:txbxContent>
                        <w:p w14:paraId="0353F9DA">
                          <w:pPr>
                            <w:pStyle w:val="9"/>
                          </w:pPr>
                          <w:r>
                            <w:fldChar w:fldCharType="begin"/>
                          </w:r>
                          <w:r>
                            <w:instrText xml:space="preserve"> PAGE  \* MERGEFORMAT </w:instrText>
                          </w:r>
                          <w:r>
                            <w:fldChar w:fldCharType="separate"/>
                          </w:r>
                          <w:r>
                            <w:t>II</w:t>
                          </w:r>
                          <w:r>
                            <w:fldChar w:fldCharType="end"/>
                          </w:r>
                        </w:p>
                      </w:txbxContent>
                    </wps:txbx>
                    <wps:bodyPr rot="0" vert="horz" wrap="none" lIns="0" tIns="0" rIns="0" bIns="0" anchor="t" anchorCtr="0" upright="1">
                      <a:spAutoFit/>
                    </wps:bodyPr>
                  </wps:wsp>
                </a:graphicData>
              </a:graphic>
            </wp:anchor>
          </w:drawing>
        </mc:Choice>
        <mc:Fallback>
          <w:pict>
            <v:shape id="文本框 26" o:spid="_x0000_s1026" o:spt="202" type="#_x0000_t202" style="position:absolute;left:0pt;margin-top:0pt;height:19.15pt;width:4.55pt;mso-position-horizontal:center;mso-position-horizontal-relative:margin;mso-wrap-style:none;z-index:251659264;mso-width-relative:page;mso-height-relative:page;" filled="f" stroked="f" coordsize="21600,21600" o:gfxdata="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HTtK/QAAAAAgEAAA8AAAAAAAAAAQAg&#10;AAAAIgAAAGRycy9kb3ducmV2LnhtbFBLAQIUABQAAAAIAIdO4kAfGsh0FgIAABgEAAAOAAAAAAAA&#10;AAEAIAAAAB8BAABkcnMvZTJvRG9jLnhtbFBLBQYAAAAABgAGAFkBAACnBQAAAAA=&#10;">
              <v:fill on="f" focussize="0,0"/>
              <v:stroke on="f"/>
              <v:imagedata o:title=""/>
              <o:lock v:ext="edit" aspectratio="f"/>
              <v:textbox inset="0mm,0mm,0mm,0mm" style="mso-fit-shape-to-text:t;">
                <w:txbxContent>
                  <w:p w14:paraId="0353F9DA">
                    <w:pPr>
                      <w:pStyle w:val="9"/>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94B1B">
    <w:pPr>
      <w:pStyle w:val="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243205"/>
              <wp:effectExtent l="0" t="0" r="0" b="0"/>
              <wp:wrapNone/>
              <wp:docPr id="552814871" name="文本框 27"/>
              <wp:cNvGraphicFramePr/>
              <a:graphic xmlns:a="http://schemas.openxmlformats.org/drawingml/2006/main">
                <a:graphicData uri="http://schemas.microsoft.com/office/word/2010/wordprocessingShape">
                  <wps:wsp>
                    <wps:cNvSpPr txBox="1">
                      <a:spLocks noChangeArrowheads="1"/>
                    </wps:cNvSpPr>
                    <wps:spPr bwMode="auto">
                      <a:xfrm>
                        <a:off x="0" y="0"/>
                        <a:ext cx="57785" cy="243205"/>
                      </a:xfrm>
                      <a:prstGeom prst="rect">
                        <a:avLst/>
                      </a:prstGeom>
                      <a:noFill/>
                      <a:ln>
                        <a:noFill/>
                      </a:ln>
                      <a:effectLst/>
                    </wps:spPr>
                    <wps:txbx>
                      <w:txbxContent>
                        <w:p w14:paraId="25EBEC60">
                          <w:pPr>
                            <w:pStyle w:val="9"/>
                          </w:pPr>
                          <w:r>
                            <w:fldChar w:fldCharType="begin"/>
                          </w:r>
                          <w:r>
                            <w:instrText xml:space="preserve"> PAGE  \* MERGEFORMAT </w:instrText>
                          </w:r>
                          <w:r>
                            <w:fldChar w:fldCharType="separate"/>
                          </w:r>
                          <w:r>
                            <w:t>I</w:t>
                          </w:r>
                          <w:r>
                            <w:fldChar w:fldCharType="end"/>
                          </w:r>
                        </w:p>
                      </w:txbxContent>
                    </wps:txbx>
                    <wps:bodyPr rot="0" vert="horz" wrap="none" lIns="0" tIns="0" rIns="0" bIns="0" anchor="t" anchorCtr="0" upright="1">
                      <a:spAutoFit/>
                    </wps:bodyPr>
                  </wps:wsp>
                </a:graphicData>
              </a:graphic>
            </wp:anchor>
          </w:drawing>
        </mc:Choice>
        <mc:Fallback>
          <w:pict>
            <v:shape id="文本框 27" o:spid="_x0000_s1026" o:spt="202" type="#_x0000_t202" style="position:absolute;left:0pt;margin-top:0pt;height:19.15pt;width:4.55pt;mso-position-horizontal:center;mso-position-horizontal-relative:margin;mso-wrap-style:none;z-index:251660288;mso-width-relative:page;mso-height-relative:page;" filled="f" stroked="f" coordsize="21600,21600" o:gfxdata="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B07Sv0AAAAAIBAAAPAAAAAAAAAAEA&#10;IAAAACIAAABkcnMvZG93bnJldi54bWxQSwECFAAUAAAACACHTuJAvEqEThcCAAAYBAAADgAAAAAA&#10;AAABACAAAAAfAQAAZHJzL2Uyb0RvYy54bWxQSwUGAAAAAAYABgBZAQAAqAUAAAAA&#10;">
              <v:fill on="f" focussize="0,0"/>
              <v:stroke on="f"/>
              <v:imagedata o:title=""/>
              <o:lock v:ext="edit" aspectratio="f"/>
              <v:textbox inset="0mm,0mm,0mm,0mm" style="mso-fit-shape-to-text:t;">
                <w:txbxContent>
                  <w:p w14:paraId="25EBEC60">
                    <w:pPr>
                      <w:pStyle w:val="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FEB2B">
    <w:pPr>
      <w:pStyle w:val="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243205"/>
              <wp:effectExtent l="0" t="0" r="0" b="0"/>
              <wp:wrapNone/>
              <wp:docPr id="1119050368" name="文本框 28"/>
              <wp:cNvGraphicFramePr/>
              <a:graphic xmlns:a="http://schemas.openxmlformats.org/drawingml/2006/main">
                <a:graphicData uri="http://schemas.microsoft.com/office/word/2010/wordprocessingShape">
                  <wps:wsp>
                    <wps:cNvSpPr txBox="1">
                      <a:spLocks noChangeArrowheads="1"/>
                    </wps:cNvSpPr>
                    <wps:spPr bwMode="auto">
                      <a:xfrm>
                        <a:off x="0" y="0"/>
                        <a:ext cx="57785" cy="243205"/>
                      </a:xfrm>
                      <a:prstGeom prst="rect">
                        <a:avLst/>
                      </a:prstGeom>
                      <a:noFill/>
                      <a:ln>
                        <a:noFill/>
                      </a:ln>
                      <a:effectLst/>
                    </wps:spPr>
                    <wps:txbx>
                      <w:txbxContent>
                        <w:p w14:paraId="2687F08B">
                          <w:pPr>
                            <w:pStyle w:val="9"/>
                          </w:pPr>
                          <w:r>
                            <w:fldChar w:fldCharType="begin"/>
                          </w:r>
                          <w:r>
                            <w:instrText xml:space="preserve"> PAGE  \* MERGEFORMAT </w:instrText>
                          </w:r>
                          <w:r>
                            <w:fldChar w:fldCharType="separate"/>
                          </w:r>
                          <w:r>
                            <w:t>V</w:t>
                          </w:r>
                          <w:r>
                            <w:fldChar w:fldCharType="end"/>
                          </w:r>
                        </w:p>
                      </w:txbxContent>
                    </wps:txbx>
                    <wps:bodyPr rot="0" vert="horz" wrap="none" lIns="0" tIns="0" rIns="0" bIns="0" anchor="t" anchorCtr="0" upright="1">
                      <a:spAutoFit/>
                    </wps:bodyPr>
                  </wps:wsp>
                </a:graphicData>
              </a:graphic>
            </wp:anchor>
          </w:drawing>
        </mc:Choice>
        <mc:Fallback>
          <w:pict>
            <v:shape id="文本框 28" o:spid="_x0000_s1026" o:spt="202" type="#_x0000_t202" style="position:absolute;left:0pt;margin-top:0pt;height:19.15pt;width:4.55pt;mso-position-horizontal:center;mso-position-horizontal-relative:margin;mso-wrap-style:none;z-index:251661312;mso-width-relative:page;mso-height-relative:page;" filled="f" stroked="f" coordsize="21600,21600" o:gfxdata="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B07Sv0AAAAAIBAAAPAAAAAAAAAAEA&#10;IAAAACIAAABkcnMvZG93bnJldi54bWxQSwECFAAUAAAACACHTuJAfZYEOBcCAAAZBAAADgAAAAAA&#10;AAABACAAAAAfAQAAZHJzL2Uyb0RvYy54bWxQSwUGAAAAAAYABgBZAQAAqAUAAAAA&#10;">
              <v:fill on="f" focussize="0,0"/>
              <v:stroke on="f"/>
              <v:imagedata o:title=""/>
              <o:lock v:ext="edit" aspectratio="f"/>
              <v:textbox inset="0mm,0mm,0mm,0mm" style="mso-fit-shape-to-text:t;">
                <w:txbxContent>
                  <w:p w14:paraId="2687F08B">
                    <w:pPr>
                      <w:pStyle w:val="9"/>
                    </w:pPr>
                    <w:r>
                      <w:fldChar w:fldCharType="begin"/>
                    </w:r>
                    <w:r>
                      <w:instrText xml:space="preserve"> PAGE  \* MERGEFORMAT </w:instrText>
                    </w:r>
                    <w:r>
                      <w:fldChar w:fldCharType="separate"/>
                    </w:r>
                    <w:r>
                      <w:t>V</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5065E">
    <w:pPr>
      <w:pStyle w:val="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243205"/>
              <wp:effectExtent l="0" t="0" r="0" b="0"/>
              <wp:wrapNone/>
              <wp:docPr id="1852600153" name="文本框 29"/>
              <wp:cNvGraphicFramePr/>
              <a:graphic xmlns:a="http://schemas.openxmlformats.org/drawingml/2006/main">
                <a:graphicData uri="http://schemas.microsoft.com/office/word/2010/wordprocessingShape">
                  <wps:wsp>
                    <wps:cNvSpPr txBox="1">
                      <a:spLocks noChangeArrowheads="1"/>
                    </wps:cNvSpPr>
                    <wps:spPr bwMode="auto">
                      <a:xfrm>
                        <a:off x="0" y="0"/>
                        <a:ext cx="57785" cy="243205"/>
                      </a:xfrm>
                      <a:prstGeom prst="rect">
                        <a:avLst/>
                      </a:prstGeom>
                      <a:noFill/>
                      <a:ln>
                        <a:noFill/>
                      </a:ln>
                      <a:effectLst/>
                    </wps:spPr>
                    <wps:txbx>
                      <w:txbxContent>
                        <w:p w14:paraId="17429737">
                          <w:pPr>
                            <w:pStyle w:val="9"/>
                          </w:pPr>
                          <w:r>
                            <w:fldChar w:fldCharType="begin"/>
                          </w:r>
                          <w:r>
                            <w:instrText xml:space="preserve"> PAGE  \* MERGEFORMAT </w:instrText>
                          </w:r>
                          <w:r>
                            <w:fldChar w:fldCharType="separate"/>
                          </w:r>
                          <w:r>
                            <w:t>IV</w:t>
                          </w:r>
                          <w:r>
                            <w:fldChar w:fldCharType="end"/>
                          </w:r>
                        </w:p>
                      </w:txbxContent>
                    </wps:txbx>
                    <wps:bodyPr rot="0" vert="horz" wrap="none" lIns="0" tIns="0" rIns="0" bIns="0" anchor="t" anchorCtr="0" upright="1">
                      <a:spAutoFit/>
                    </wps:bodyPr>
                  </wps:wsp>
                </a:graphicData>
              </a:graphic>
            </wp:anchor>
          </w:drawing>
        </mc:Choice>
        <mc:Fallback>
          <w:pict>
            <v:shape id="文本框 29" o:spid="_x0000_s1026" o:spt="202" type="#_x0000_t202" style="position:absolute;left:0pt;margin-top:0pt;height:19.15pt;width:4.55pt;mso-position-horizontal:center;mso-position-horizontal-relative:margin;mso-wrap-style:none;z-index:251662336;mso-width-relative:page;mso-height-relative:page;" filled="f" stroked="f" coordsize="21600,21600" o:gfxdata="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B07Sv0AAAAAIBAAAPAAAAAAAAAAEA&#10;IAAAACIAAABkcnMvZG93bnJldi54bWxQSwECFAAUAAAACACHTuJAYu6tWRcCAAAZBAAADgAAAAAA&#10;AAABACAAAAAfAQAAZHJzL2Uyb0RvYy54bWxQSwUGAAAAAAYABgBZAQAAqAUAAAAA&#10;">
              <v:fill on="f" focussize="0,0"/>
              <v:stroke on="f"/>
              <v:imagedata o:title=""/>
              <o:lock v:ext="edit" aspectratio="f"/>
              <v:textbox inset="0mm,0mm,0mm,0mm" style="mso-fit-shape-to-text:t;">
                <w:txbxContent>
                  <w:p w14:paraId="17429737">
                    <w:pPr>
                      <w:pStyle w:val="9"/>
                    </w:pPr>
                    <w:r>
                      <w:fldChar w:fldCharType="begin"/>
                    </w:r>
                    <w:r>
                      <w:instrText xml:space="preserve"> PAGE  \* MERGEFORMAT </w:instrText>
                    </w:r>
                    <w:r>
                      <w:fldChar w:fldCharType="separate"/>
                    </w:r>
                    <w:r>
                      <w:t>IV</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F072A">
    <w:pPr>
      <w:pStyle w:val="9"/>
      <w:tabs>
        <w:tab w:val="center" w:pos="4140"/>
        <w:tab w:val="clear" w:pos="4153"/>
      </w:tabs>
      <w:ind w:right="360"/>
      <w:rPr>
        <w:rStyle w:val="18"/>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243205"/>
              <wp:effectExtent l="0" t="0" r="0" b="0"/>
              <wp:wrapNone/>
              <wp:docPr id="1017962682" name="文本框 30"/>
              <wp:cNvGraphicFramePr/>
              <a:graphic xmlns:a="http://schemas.openxmlformats.org/drawingml/2006/main">
                <a:graphicData uri="http://schemas.microsoft.com/office/word/2010/wordprocessingShape">
                  <wps:wsp>
                    <wps:cNvSpPr txBox="1">
                      <a:spLocks noChangeArrowheads="1"/>
                    </wps:cNvSpPr>
                    <wps:spPr bwMode="auto">
                      <a:xfrm>
                        <a:off x="0" y="0"/>
                        <a:ext cx="114935" cy="243205"/>
                      </a:xfrm>
                      <a:prstGeom prst="rect">
                        <a:avLst/>
                      </a:prstGeom>
                      <a:noFill/>
                      <a:ln>
                        <a:noFill/>
                      </a:ln>
                      <a:effectLst/>
                    </wps:spPr>
                    <wps:txbx>
                      <w:txbxContent>
                        <w:p w14:paraId="2188ACC3">
                          <w:pPr>
                            <w:pStyle w:val="9"/>
                          </w:pPr>
                          <w:r>
                            <w:fldChar w:fldCharType="begin"/>
                          </w:r>
                          <w:r>
                            <w:instrText xml:space="preserve"> PAGE  \* MERGEFORMAT </w:instrText>
                          </w:r>
                          <w:r>
                            <w:fldChar w:fldCharType="separate"/>
                          </w:r>
                          <w:r>
                            <w:t>XXX</w:t>
                          </w:r>
                          <w:r>
                            <w:fldChar w:fldCharType="end"/>
                          </w:r>
                        </w:p>
                      </w:txbxContent>
                    </wps:txbx>
                    <wps:bodyPr rot="0" vert="horz" wrap="none" lIns="0" tIns="0" rIns="0" bIns="0" anchor="t" anchorCtr="0" upright="1">
                      <a:spAutoFit/>
                    </wps:bodyPr>
                  </wps:wsp>
                </a:graphicData>
              </a:graphic>
            </wp:anchor>
          </w:drawing>
        </mc:Choice>
        <mc:Fallback>
          <w:pict>
            <v:shape id="文本框 30" o:spid="_x0000_s1026" o:spt="202" type="#_x0000_t202" style="position:absolute;left:0pt;margin-top:0pt;height:19.15pt;width:9.05pt;mso-position-horizontal:center;mso-position-horizontal-relative:margin;mso-wrap-style:none;z-index:251663360;mso-width-relative:page;mso-height-relative:page;" filled="f" stroked="f" coordsize="21600,21600" o:gfxdata="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NvRei0AAAAAMBAAAPAAAAAAAAAAEA&#10;IAAAACIAAABkcnMvZG93bnJldi54bWxQSwECFAAUAAAACACHTuJAqdVA4RcCAAAaBAAADgAAAAAA&#10;AAABACAAAAAfAQAAZHJzL2Uyb0RvYy54bWxQSwUGAAAAAAYABgBZAQAAqAUAAAAA&#10;">
              <v:fill on="f" focussize="0,0"/>
              <v:stroke on="f"/>
              <v:imagedata o:title=""/>
              <o:lock v:ext="edit" aspectratio="f"/>
              <v:textbox inset="0mm,0mm,0mm,0mm" style="mso-fit-shape-to-text:t;">
                <w:txbxContent>
                  <w:p w14:paraId="2188ACC3">
                    <w:pPr>
                      <w:pStyle w:val="9"/>
                    </w:pPr>
                    <w:r>
                      <w:fldChar w:fldCharType="begin"/>
                    </w:r>
                    <w:r>
                      <w:instrText xml:space="preserve"> PAGE  \* MERGEFORMAT </w:instrText>
                    </w:r>
                    <w:r>
                      <w:fldChar w:fldCharType="separate"/>
                    </w:r>
                    <w:r>
                      <w:t>XXX</w:t>
                    </w:r>
                    <w:r>
                      <w:fldChar w:fldCharType="end"/>
                    </w:r>
                  </w:p>
                </w:txbxContent>
              </v:textbox>
            </v:shape>
          </w:pict>
        </mc:Fallback>
      </mc:AlternateContent>
    </w:r>
    <w:r>
      <w:rPr>
        <w:rStyle w:val="18"/>
        <w:rFonts w:hint="eastAsia"/>
      </w:rPr>
      <w:tab/>
    </w:r>
  </w:p>
  <w:p w14:paraId="7E82A30E">
    <w:pPr>
      <w:pStyle w:val="9"/>
      <w:ind w:right="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B0328">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F7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EC7207"/>
    <w:multiLevelType w:val="singleLevel"/>
    <w:tmpl w:val="CDEC7207"/>
    <w:lvl w:ilvl="0" w:tentative="0">
      <w:start w:val="1"/>
      <w:numFmt w:val="chineseCounting"/>
      <w:suff w:val="nothing"/>
      <w:lvlText w:val="（%1）"/>
      <w:lvlJc w:val="left"/>
      <w:rPr>
        <w:rFonts w:hint="eastAsia"/>
      </w:rPr>
    </w:lvl>
  </w:abstractNum>
  <w:abstractNum w:abstractNumId="1">
    <w:nsid w:val="00000003"/>
    <w:multiLevelType w:val="multilevel"/>
    <w:tmpl w:val="00000003"/>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00000005"/>
    <w:multiLevelType w:val="multilevel"/>
    <w:tmpl w:val="00000005"/>
    <w:lvl w:ilvl="0" w:tentative="0">
      <w:start w:val="1"/>
      <w:numFmt w:val="decimal"/>
      <w:lvlText w:val="%1."/>
      <w:lvlJc w:val="left"/>
      <w:pPr>
        <w:tabs>
          <w:tab w:val="left" w:pos="420"/>
        </w:tabs>
        <w:ind w:left="845" w:hanging="425"/>
      </w:pPr>
      <w:rPr>
        <w:rFonts w:hint="eastAsia" w:ascii="宋体" w:hAnsi="宋体" w:eastAsia="宋体"/>
        <w:b/>
        <w:sz w:val="28"/>
      </w:rPr>
    </w:lvl>
    <w:lvl w:ilvl="1" w:tentative="0">
      <w:start w:val="1"/>
      <w:numFmt w:val="decimal"/>
      <w:pStyle w:val="14"/>
      <w:lvlText w:val="%1.%2"/>
      <w:lvlJc w:val="left"/>
      <w:pPr>
        <w:tabs>
          <w:tab w:val="left" w:pos="420"/>
        </w:tabs>
        <w:ind w:left="1270" w:hanging="425"/>
      </w:pPr>
      <w:rPr>
        <w:rFonts w:hint="eastAsia" w:eastAsia="宋体"/>
        <w:b/>
        <w:i w:val="0"/>
        <w:sz w:val="24"/>
      </w:rPr>
    </w:lvl>
    <w:lvl w:ilvl="2" w:tentative="0">
      <w:start w:val="1"/>
      <w:numFmt w:val="decimal"/>
      <w:pStyle w:val="8"/>
      <w:lvlText w:val="%1.%2.%3"/>
      <w:lvlJc w:val="left"/>
      <w:pPr>
        <w:tabs>
          <w:tab w:val="left" w:pos="420"/>
        </w:tabs>
        <w:ind w:left="1695" w:hanging="425"/>
      </w:pPr>
      <w:rPr>
        <w:rFonts w:hint="eastAsia" w:eastAsia="宋体"/>
        <w:b w:val="0"/>
        <w:i w:val="0"/>
        <w:sz w:val="21"/>
      </w:rPr>
    </w:lvl>
    <w:lvl w:ilvl="3" w:tentative="0">
      <w:start w:val="1"/>
      <w:numFmt w:val="decimal"/>
      <w:lvlText w:val="%1.%2.%3.%4"/>
      <w:lvlJc w:val="left"/>
      <w:pPr>
        <w:tabs>
          <w:tab w:val="left" w:pos="420"/>
        </w:tabs>
        <w:ind w:left="2120" w:hanging="425"/>
      </w:pPr>
      <w:rPr>
        <w:rFonts w:hint="eastAsia"/>
      </w:rPr>
    </w:lvl>
    <w:lvl w:ilvl="4" w:tentative="0">
      <w:start w:val="1"/>
      <w:numFmt w:val="decimal"/>
      <w:lvlText w:val="%1.%2.%3.%4.%5"/>
      <w:lvlJc w:val="left"/>
      <w:pPr>
        <w:tabs>
          <w:tab w:val="left" w:pos="420"/>
        </w:tabs>
        <w:ind w:left="2545" w:hanging="425"/>
      </w:pPr>
      <w:rPr>
        <w:rFonts w:hint="eastAsia"/>
      </w:rPr>
    </w:lvl>
    <w:lvl w:ilvl="5" w:tentative="0">
      <w:start w:val="1"/>
      <w:numFmt w:val="decimal"/>
      <w:lvlText w:val="%1.%2.%3.%4.%5.%6"/>
      <w:lvlJc w:val="left"/>
      <w:pPr>
        <w:tabs>
          <w:tab w:val="left" w:pos="420"/>
        </w:tabs>
        <w:ind w:left="2970" w:hanging="425"/>
      </w:pPr>
      <w:rPr>
        <w:rFonts w:hint="eastAsia"/>
      </w:rPr>
    </w:lvl>
    <w:lvl w:ilvl="6" w:tentative="0">
      <w:start w:val="1"/>
      <w:numFmt w:val="decimal"/>
      <w:lvlText w:val="%1.%2.%3.%4.%5.%6.%7"/>
      <w:lvlJc w:val="left"/>
      <w:pPr>
        <w:tabs>
          <w:tab w:val="left" w:pos="420"/>
        </w:tabs>
        <w:ind w:left="3395" w:hanging="425"/>
      </w:pPr>
      <w:rPr>
        <w:rFonts w:hint="eastAsia"/>
      </w:rPr>
    </w:lvl>
    <w:lvl w:ilvl="7" w:tentative="0">
      <w:start w:val="1"/>
      <w:numFmt w:val="decimal"/>
      <w:lvlText w:val="%1.%2.%3.%4.%5.%6.%7.%8"/>
      <w:lvlJc w:val="left"/>
      <w:pPr>
        <w:tabs>
          <w:tab w:val="left" w:pos="420"/>
        </w:tabs>
        <w:ind w:left="3820" w:hanging="425"/>
      </w:pPr>
      <w:rPr>
        <w:rFonts w:hint="eastAsia"/>
      </w:rPr>
    </w:lvl>
    <w:lvl w:ilvl="8" w:tentative="0">
      <w:start w:val="1"/>
      <w:numFmt w:val="decimal"/>
      <w:lvlText w:val="%1.%2.%3.%4.%5.%6.%7.%8.%9"/>
      <w:lvlJc w:val="left"/>
      <w:pPr>
        <w:tabs>
          <w:tab w:val="left" w:pos="420"/>
        </w:tabs>
        <w:ind w:left="4245" w:hanging="425"/>
      </w:pPr>
      <w:rPr>
        <w:rFonts w:hint="eastAsia"/>
      </w:rPr>
    </w:lvl>
  </w:abstractNum>
  <w:abstractNum w:abstractNumId="3">
    <w:nsid w:val="00000007"/>
    <w:multiLevelType w:val="singleLevel"/>
    <w:tmpl w:val="00000007"/>
    <w:lvl w:ilvl="0" w:tentative="0">
      <w:start w:val="1"/>
      <w:numFmt w:val="decimal"/>
      <w:suff w:val="nothing"/>
      <w:lvlText w:val="（%1）"/>
      <w:lvlJc w:val="left"/>
    </w:lvl>
  </w:abstractNum>
  <w:abstractNum w:abstractNumId="4">
    <w:nsid w:val="00000008"/>
    <w:multiLevelType w:val="multilevel"/>
    <w:tmpl w:val="00000008"/>
    <w:lvl w:ilvl="0" w:tentative="0">
      <w:start w:val="1"/>
      <w:numFmt w:val="decimal"/>
      <w:lvlText w:val="%1."/>
      <w:lvlJc w:val="left"/>
      <w:pPr>
        <w:ind w:left="420" w:hanging="420"/>
      </w:pPr>
      <w:rPr>
        <w:rFonts w:hint="eastAsia" w:eastAsia="仿宋_GB2312"/>
        <w:color w:val="auto"/>
        <w:sz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9"/>
    <w:multiLevelType w:val="multilevel"/>
    <w:tmpl w:val="00000009"/>
    <w:lvl w:ilvl="0" w:tentative="0">
      <w:start w:val="1"/>
      <w:numFmt w:val="japaneseCounting"/>
      <w:lvlText w:val="第%1章"/>
      <w:lvlJc w:val="left"/>
      <w:pPr>
        <w:ind w:left="1350" w:hanging="13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B"/>
    <w:multiLevelType w:val="multilevel"/>
    <w:tmpl w:val="0000000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C"/>
    <w:multiLevelType w:val="multilevel"/>
    <w:tmpl w:val="0000000C"/>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0000000D"/>
    <w:multiLevelType w:val="multilevel"/>
    <w:tmpl w:val="0000000D"/>
    <w:lvl w:ilvl="0" w:tentative="0">
      <w:start w:val="1"/>
      <w:numFmt w:val="decimal"/>
      <w:lvlText w:val="%1."/>
      <w:lvlJc w:val="left"/>
      <w:pPr>
        <w:ind w:left="840" w:hanging="420"/>
      </w:pPr>
      <w:rPr>
        <w:rFonts w:hint="eastAsia" w:eastAsia="仿宋_GB2312"/>
        <w:color w:val="auto"/>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42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0000010"/>
    <w:multiLevelType w:val="multilevel"/>
    <w:tmpl w:val="0000001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00000016"/>
    <w:multiLevelType w:val="multilevel"/>
    <w:tmpl w:val="0000001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0000017"/>
    <w:multiLevelType w:val="multilevel"/>
    <w:tmpl w:val="00000017"/>
    <w:lvl w:ilvl="0" w:tentative="0">
      <w:start w:val="1"/>
      <w:numFmt w:val="decimal"/>
      <w:lvlText w:val="%1"/>
      <w:lvlJc w:val="left"/>
      <w:pPr>
        <w:tabs>
          <w:tab w:val="left" w:pos="432"/>
        </w:tabs>
        <w:ind w:left="432" w:hanging="432"/>
      </w:pPr>
      <w:rPr>
        <w:rFonts w:hint="eastAsia"/>
      </w:rPr>
    </w:lvl>
    <w:lvl w:ilvl="1" w:tentative="0">
      <w:start w:val="1"/>
      <w:numFmt w:val="decimal"/>
      <w:pStyle w:val="22"/>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26DA5024"/>
    <w:multiLevelType w:val="singleLevel"/>
    <w:tmpl w:val="26DA5024"/>
    <w:lvl w:ilvl="0" w:tentative="0">
      <w:start w:val="5"/>
      <w:numFmt w:val="chineseCounting"/>
      <w:suff w:val="space"/>
      <w:lvlText w:val="第%1章"/>
      <w:lvlJc w:val="left"/>
      <w:rPr>
        <w:rFonts w:hint="eastAsia"/>
      </w:rPr>
    </w:lvl>
  </w:abstractNum>
  <w:abstractNum w:abstractNumId="13">
    <w:nsid w:val="4E545BAD"/>
    <w:multiLevelType w:val="singleLevel"/>
    <w:tmpl w:val="4E545BAD"/>
    <w:lvl w:ilvl="0" w:tentative="0">
      <w:start w:val="4"/>
      <w:numFmt w:val="decimal"/>
      <w:lvlText w:val="%1."/>
      <w:lvlJc w:val="left"/>
      <w:pPr>
        <w:tabs>
          <w:tab w:val="left" w:pos="312"/>
        </w:tabs>
      </w:pPr>
    </w:lvl>
  </w:abstractNum>
  <w:num w:numId="1">
    <w:abstractNumId w:val="2"/>
  </w:num>
  <w:num w:numId="2">
    <w:abstractNumId w:val="11"/>
  </w:num>
  <w:num w:numId="3">
    <w:abstractNumId w:val="5"/>
  </w:num>
  <w:num w:numId="4">
    <w:abstractNumId w:val="13"/>
  </w:num>
  <w:num w:numId="5">
    <w:abstractNumId w:val="10"/>
  </w:num>
  <w:num w:numId="6">
    <w:abstractNumId w:val="3"/>
  </w:num>
  <w:num w:numId="7">
    <w:abstractNumId w:val="7"/>
  </w:num>
  <w:num w:numId="8">
    <w:abstractNumId w:val="6"/>
  </w:num>
  <w:num w:numId="9">
    <w:abstractNumId w:val="2"/>
    <w:lvlOverride w:ilvl="0">
      <w:startOverride w:val="1"/>
    </w:lvlOverride>
  </w:num>
  <w:num w:numId="10">
    <w:abstractNumId w:val="1"/>
  </w:num>
  <w:num w:numId="11">
    <w:abstractNumId w:val="12"/>
  </w:num>
  <w:num w:numId="12">
    <w:abstractNumId w:val="0"/>
  </w:num>
  <w:num w:numId="13">
    <w:abstractNumId w:val="8"/>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57B76"/>
    <w:rsid w:val="05DB4947"/>
    <w:rsid w:val="07DC6755"/>
    <w:rsid w:val="0F677CB6"/>
    <w:rsid w:val="10FB3199"/>
    <w:rsid w:val="15B42ABF"/>
    <w:rsid w:val="19070402"/>
    <w:rsid w:val="1C9D24FF"/>
    <w:rsid w:val="1CD001DE"/>
    <w:rsid w:val="22334856"/>
    <w:rsid w:val="2CE44B1C"/>
    <w:rsid w:val="2F167327"/>
    <w:rsid w:val="2F666780"/>
    <w:rsid w:val="300667B4"/>
    <w:rsid w:val="3502519D"/>
    <w:rsid w:val="37321D6A"/>
    <w:rsid w:val="39873EC3"/>
    <w:rsid w:val="3D915310"/>
    <w:rsid w:val="42227F03"/>
    <w:rsid w:val="43AC6A00"/>
    <w:rsid w:val="4B2B0B52"/>
    <w:rsid w:val="4E3E6DEE"/>
    <w:rsid w:val="5F3D27AA"/>
    <w:rsid w:val="66A55805"/>
    <w:rsid w:val="6AA65180"/>
    <w:rsid w:val="6FBB684F"/>
    <w:rsid w:val="72F10F91"/>
    <w:rsid w:val="73247AB1"/>
    <w:rsid w:val="74827185"/>
    <w:rsid w:val="76E64D1F"/>
    <w:rsid w:val="77996139"/>
    <w:rsid w:val="793842B6"/>
    <w:rsid w:val="7F693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toa heading"/>
    <w:basedOn w:val="1"/>
    <w:next w:val="1"/>
    <w:qFormat/>
    <w:uiPriority w:val="0"/>
    <w:pPr>
      <w:spacing w:before="120"/>
    </w:pPr>
    <w:rPr>
      <w:rFonts w:ascii="Arial" w:hAnsi="Arial"/>
      <w:sz w:val="24"/>
    </w:rPr>
  </w:style>
  <w:style w:type="paragraph" w:styleId="5">
    <w:name w:val="Body Text"/>
    <w:basedOn w:val="1"/>
    <w:next w:val="1"/>
    <w:qFormat/>
    <w:uiPriority w:val="0"/>
    <w:rPr>
      <w:sz w:val="28"/>
      <w:szCs w:val="20"/>
    </w:rPr>
  </w:style>
  <w:style w:type="paragraph" w:styleId="6">
    <w:name w:val="Body Text Indent"/>
    <w:basedOn w:val="1"/>
    <w:qFormat/>
    <w:uiPriority w:val="0"/>
    <w:pPr>
      <w:autoSpaceDE w:val="0"/>
      <w:autoSpaceDN w:val="0"/>
      <w:adjustRightInd w:val="0"/>
      <w:spacing w:after="120" w:line="360" w:lineRule="atLeast"/>
      <w:ind w:left="900"/>
    </w:pPr>
    <w:rPr>
      <w:rFonts w:ascii="楷体_GB2312" w:eastAsia="楷体_GB2312"/>
      <w:kern w:val="0"/>
      <w:sz w:val="28"/>
      <w:szCs w:val="20"/>
    </w:rPr>
  </w:style>
  <w:style w:type="paragraph" w:styleId="7">
    <w:name w:val="toc 3"/>
    <w:basedOn w:val="1"/>
    <w:next w:val="1"/>
    <w:qFormat/>
    <w:uiPriority w:val="0"/>
    <w:pPr>
      <w:widowControl/>
      <w:snapToGrid w:val="0"/>
      <w:spacing w:line="440" w:lineRule="exact"/>
      <w:ind w:left="442"/>
      <w:jc w:val="left"/>
    </w:pPr>
    <w:rPr>
      <w:rFonts w:ascii="Calibri" w:hAnsi="Calibri"/>
      <w:kern w:val="0"/>
      <w:szCs w:val="22"/>
    </w:rPr>
  </w:style>
  <w:style w:type="paragraph" w:styleId="8">
    <w:name w:val="Plain Text"/>
    <w:basedOn w:val="1"/>
    <w:qFormat/>
    <w:uiPriority w:val="0"/>
    <w:pPr>
      <w:numPr>
        <w:ilvl w:val="2"/>
        <w:numId w:val="1"/>
      </w:numPr>
    </w:pPr>
    <w:rPr>
      <w:rFonts w:ascii="宋体" w:hAnsi="Courier New"/>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pPr>
      <w:tabs>
        <w:tab w:val="left" w:pos="567"/>
        <w:tab w:val="left" w:pos="709"/>
        <w:tab w:val="right" w:leader="dot" w:pos="8505"/>
      </w:tabs>
      <w:snapToGrid w:val="0"/>
      <w:spacing w:line="440" w:lineRule="exact"/>
      <w:jc w:val="left"/>
    </w:pPr>
  </w:style>
  <w:style w:type="paragraph" w:styleId="12">
    <w:name w:val="toc 2"/>
    <w:basedOn w:val="1"/>
    <w:next w:val="1"/>
    <w:qFormat/>
    <w:uiPriority w:val="0"/>
    <w:pPr>
      <w:tabs>
        <w:tab w:val="left" w:pos="567"/>
        <w:tab w:val="right" w:leader="dot" w:pos="8505"/>
        <w:tab w:val="right" w:leader="dot" w:pos="9628"/>
      </w:tabs>
      <w:spacing w:line="440" w:lineRule="exact"/>
    </w:pPr>
  </w:style>
  <w:style w:type="paragraph" w:styleId="13">
    <w:name w:val="Normal (Web)"/>
    <w:basedOn w:val="1"/>
    <w:qFormat/>
    <w:uiPriority w:val="0"/>
    <w:pPr>
      <w:widowControl/>
      <w:adjustRightInd w:val="0"/>
      <w:spacing w:before="100" w:beforeAutospacing="1" w:after="100" w:afterAutospacing="1" w:line="312" w:lineRule="atLeast"/>
      <w:jc w:val="left"/>
      <w:textAlignment w:val="baseline"/>
    </w:pPr>
    <w:rPr>
      <w:rFonts w:ascii="宋体" w:hAnsi="宋体" w:cs="宋体"/>
      <w:kern w:val="0"/>
      <w:sz w:val="24"/>
      <w:szCs w:val="20"/>
    </w:rPr>
  </w:style>
  <w:style w:type="paragraph" w:styleId="14">
    <w:name w:val="Title"/>
    <w:basedOn w:val="1"/>
    <w:next w:val="1"/>
    <w:qFormat/>
    <w:uiPriority w:val="0"/>
    <w:pPr>
      <w:numPr>
        <w:ilvl w:val="1"/>
        <w:numId w:val="1"/>
      </w:numPr>
      <w:spacing w:before="240" w:after="60"/>
      <w:jc w:val="center"/>
      <w:outlineLvl w:val="0"/>
    </w:pPr>
    <w:rPr>
      <w:rFonts w:ascii="Cambria" w:hAnsi="Cambria"/>
      <w:b/>
      <w:bCs/>
      <w:sz w:val="32"/>
      <w:szCs w:val="32"/>
    </w:rPr>
  </w:style>
  <w:style w:type="paragraph" w:styleId="15">
    <w:name w:val="Body Text First Indent"/>
    <w:basedOn w:val="5"/>
    <w:qFormat/>
    <w:uiPriority w:val="0"/>
    <w:pPr>
      <w:widowControl/>
      <w:ind w:firstLine="420" w:firstLineChars="100"/>
      <w:jc w:val="left"/>
    </w:pPr>
    <w:rPr>
      <w:rFonts w:eastAsia="仿宋_GB2312"/>
      <w:sz w:val="24"/>
    </w:rPr>
  </w:style>
  <w:style w:type="character" w:styleId="18">
    <w:name w:val="page number"/>
    <w:qFormat/>
    <w:uiPriority w:val="0"/>
  </w:style>
  <w:style w:type="paragraph" w:customStyle="1" w:styleId="19">
    <w:name w:val="bt1bt1"/>
    <w:basedOn w:val="2"/>
    <w:qFormat/>
    <w:uiPriority w:val="0"/>
    <w:pPr>
      <w:spacing w:line="240" w:lineRule="auto"/>
      <w:jc w:val="center"/>
    </w:pPr>
    <w:rPr>
      <w:rFonts w:ascii="黑体" w:eastAsia="黑体"/>
      <w:b w:val="0"/>
      <w:sz w:val="36"/>
      <w:szCs w:val="36"/>
    </w:rPr>
  </w:style>
  <w:style w:type="paragraph" w:customStyle="1" w:styleId="20">
    <w:name w:val="列出段落1"/>
    <w:basedOn w:val="1"/>
    <w:qFormat/>
    <w:uiPriority w:val="0"/>
    <w:pPr>
      <w:ind w:firstLine="420" w:firstLineChars="200"/>
    </w:pPr>
  </w:style>
  <w:style w:type="paragraph" w:customStyle="1" w:styleId="21">
    <w:name w:val="Table Paragraph"/>
    <w:basedOn w:val="1"/>
    <w:qFormat/>
    <w:uiPriority w:val="0"/>
    <w:pPr>
      <w:spacing w:after="0" w:line="240" w:lineRule="auto"/>
      <w:jc w:val="left"/>
    </w:pPr>
    <w:rPr>
      <w:rFonts w:ascii="宋体" w:hAnsi="宋体" w:cs="宋体"/>
      <w:kern w:val="0"/>
      <w:sz w:val="22"/>
      <w:szCs w:val="22"/>
      <w:lang w:eastAsia="en-US"/>
    </w:rPr>
  </w:style>
  <w:style w:type="paragraph" w:customStyle="1" w:styleId="22">
    <w:name w:val="节"/>
    <w:basedOn w:val="3"/>
    <w:qFormat/>
    <w:uiPriority w:val="0"/>
    <w:pPr>
      <w:numPr>
        <w:ilvl w:val="1"/>
        <w:numId w:val="2"/>
      </w:numPr>
      <w:spacing w:line="240" w:lineRule="auto"/>
    </w:pPr>
    <w:rPr>
      <w:rFonts w:ascii="黑体"/>
      <w:b w:val="0"/>
      <w:sz w:val="28"/>
      <w:szCs w:val="28"/>
    </w:rPr>
  </w:style>
  <w:style w:type="paragraph" w:styleId="23">
    <w:name w:val="List Paragraph"/>
    <w:basedOn w:val="1"/>
    <w:qFormat/>
    <w:uiPriority w:val="0"/>
    <w:pPr>
      <w:ind w:firstLine="420" w:firstLineChars="200"/>
    </w:pPr>
  </w:style>
  <w:style w:type="paragraph" w:customStyle="1" w:styleId="24">
    <w:name w:val="标题二"/>
    <w:basedOn w:val="2"/>
    <w:qFormat/>
    <w:uiPriority w:val="0"/>
    <w:pPr>
      <w:spacing w:before="120" w:after="0" w:line="360" w:lineRule="auto"/>
      <w:jc w:val="left"/>
    </w:pPr>
    <w:rPr>
      <w:rFonts w:ascii="Calibri" w:hAnsi="Calibri"/>
      <w:sz w:val="32"/>
      <w:szCs w:val="32"/>
    </w:rPr>
  </w:style>
  <w:style w:type="paragraph" w:customStyle="1" w:styleId="25">
    <w:name w:val="TOC 标题1"/>
    <w:basedOn w:val="2"/>
    <w:next w:val="1"/>
    <w:qFormat/>
    <w:uiPriority w:val="0"/>
    <w:pPr>
      <w:widowControl/>
      <w:spacing w:before="480" w:after="0" w:line="276" w:lineRule="auto"/>
      <w:jc w:val="left"/>
      <w:outlineLvl w:val="9"/>
    </w:pPr>
    <w:rPr>
      <w:rFonts w:ascii="Cambria" w:hAnsi="Cambria"/>
      <w:color w:val="366091"/>
      <w:kern w:val="0"/>
      <w:sz w:val="28"/>
      <w:szCs w:val="28"/>
    </w:rPr>
  </w:style>
  <w:style w:type="paragraph" w:customStyle="1" w:styleId="26">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7">
    <w:name w:val="文档正文"/>
    <w:basedOn w:val="1"/>
    <w:qFormat/>
    <w:uiPriority w:val="0"/>
    <w:pPr>
      <w:adjustRightInd w:val="0"/>
      <w:spacing w:line="312" w:lineRule="atLeast"/>
      <w:ind w:firstLine="567"/>
      <w:textAlignment w:val="baseline"/>
    </w:pPr>
    <w:rPr>
      <w:rFonts w:ascii="长城仿宋" w:eastAsia="长城仿宋"/>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10650</Words>
  <Characters>11397</Characters>
  <Lines>0</Lines>
  <Paragraphs>0</Paragraphs>
  <TotalTime>19</TotalTime>
  <ScaleCrop>false</ScaleCrop>
  <LinksUpToDate>false</LinksUpToDate>
  <CharactersWithSpaces>11583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2026-04-17T08:57:00Z</dcterms:created>
  <dc:creator>IIL</dc:creator>
  <cp:lastModifiedBy>Yang</cp:lastModifiedBy>
  <dcterms:modified xsi:type="dcterms:W3CDTF">2026-05-08T05:33:57Z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eyJoZGlkIjoiYjg1ZmFiOGVjMzgwMTc2YzdiYWJkZDA3NWNjMzlkNjMiLCJ1c2VySWQiOiI0MzAxNTI5ODgifQ==</vt:lpwstr>
  </property>
  <property fmtid="{D5CDD505-2E9C-101B-9397-08002B2CF9AE}" pid="4" name="ICV">
    <vt:lpwstr>5D5B86D4EC2141AABA53151286CAC655_12</vt:lpwstr>
  </property>
</Properties>
</file>